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93E1C">
      <w:p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采购需求</w:t>
      </w:r>
    </w:p>
    <w:p w14:paraId="3E546DBB">
      <w:pPr>
        <w:spacing w:line="360" w:lineRule="auto"/>
        <w:contextualSpacing/>
        <w:rPr>
          <w:rFonts w:ascii="Times New Roman" w:hAnsi="Times New Roman" w:eastAsia="宋体" w:cs="Times New Roman"/>
          <w:sz w:val="24"/>
          <w:highlight w:val="none"/>
        </w:rPr>
      </w:pPr>
    </w:p>
    <w:p w14:paraId="0B215087">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采购标的</w:t>
      </w:r>
    </w:p>
    <w:p w14:paraId="328B840D">
      <w:pPr>
        <w:spacing w:line="360" w:lineRule="auto"/>
        <w:contextualSpacing/>
        <w:rPr>
          <w:rFonts w:ascii="Times New Roman" w:hAnsi="Times New Roman" w:eastAsia="宋体" w:cs="Times New Roman"/>
          <w:bCs/>
          <w:sz w:val="24"/>
          <w:highlight w:val="none"/>
        </w:rPr>
      </w:pPr>
      <w:r>
        <w:rPr>
          <w:rFonts w:ascii="Times New Roman" w:hAnsi="Times New Roman" w:eastAsia="宋体" w:cs="Times New Roman"/>
          <w:bCs/>
          <w:sz w:val="24"/>
          <w:highlight w:val="none"/>
        </w:rPr>
        <w:t>1. 采购标的</w:t>
      </w:r>
    </w:p>
    <w:tbl>
      <w:tblPr>
        <w:tblStyle w:val="3"/>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3503"/>
        <w:gridCol w:w="1072"/>
        <w:gridCol w:w="932"/>
        <w:gridCol w:w="1719"/>
      </w:tblGrid>
      <w:tr w14:paraId="486D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64" w:type="dxa"/>
            <w:noWrap w:val="0"/>
            <w:vAlign w:val="center"/>
          </w:tcPr>
          <w:p w14:paraId="437379E4">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b w:val="0"/>
                <w:bCs/>
                <w:sz w:val="24"/>
                <w:highlight w:val="none"/>
                <w:vertAlign w:val="baseline"/>
                <w:lang w:eastAsia="zh-CN"/>
              </w:rPr>
            </w:pPr>
            <w:r>
              <w:rPr>
                <w:rFonts w:hint="default" w:ascii="Times New Roman" w:hAnsi="Times New Roman" w:eastAsia="宋体" w:cs="Times New Roman"/>
                <w:b w:val="0"/>
                <w:bCs/>
                <w:sz w:val="24"/>
                <w:highlight w:val="none"/>
                <w:vertAlign w:val="baseline"/>
                <w:lang w:eastAsia="zh-CN"/>
              </w:rPr>
              <w:t>序号</w:t>
            </w:r>
          </w:p>
        </w:tc>
        <w:tc>
          <w:tcPr>
            <w:tcW w:w="3503" w:type="dxa"/>
            <w:noWrap w:val="0"/>
            <w:vAlign w:val="center"/>
          </w:tcPr>
          <w:p w14:paraId="7615CA14">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b w:val="0"/>
                <w:bCs/>
                <w:sz w:val="24"/>
                <w:highlight w:val="none"/>
                <w:vertAlign w:val="baseline"/>
                <w:lang w:val="en-US" w:eastAsia="zh-CN"/>
              </w:rPr>
            </w:pPr>
            <w:r>
              <w:rPr>
                <w:rFonts w:hint="default" w:ascii="Times New Roman" w:hAnsi="Times New Roman" w:eastAsia="宋体" w:cs="Times New Roman"/>
                <w:b w:val="0"/>
                <w:bCs/>
                <w:sz w:val="24"/>
                <w:highlight w:val="none"/>
                <w:vertAlign w:val="baseline"/>
                <w:lang w:val="en-US" w:eastAsia="zh-CN"/>
              </w:rPr>
              <w:t>采购标的名称</w:t>
            </w:r>
          </w:p>
        </w:tc>
        <w:tc>
          <w:tcPr>
            <w:tcW w:w="1072" w:type="dxa"/>
            <w:noWrap w:val="0"/>
            <w:vAlign w:val="center"/>
          </w:tcPr>
          <w:p w14:paraId="1E9EC03D">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b w:val="0"/>
                <w:bCs/>
                <w:sz w:val="24"/>
                <w:highlight w:val="none"/>
                <w:vertAlign w:val="baseline"/>
                <w:lang w:eastAsia="zh-CN"/>
              </w:rPr>
            </w:pPr>
            <w:r>
              <w:rPr>
                <w:rFonts w:hint="default" w:ascii="Times New Roman" w:hAnsi="Times New Roman" w:eastAsia="宋体" w:cs="Times New Roman"/>
                <w:b w:val="0"/>
                <w:bCs/>
                <w:sz w:val="24"/>
                <w:highlight w:val="none"/>
                <w:vertAlign w:val="baseline"/>
                <w:lang w:eastAsia="zh-CN"/>
              </w:rPr>
              <w:t>单位</w:t>
            </w:r>
          </w:p>
        </w:tc>
        <w:tc>
          <w:tcPr>
            <w:tcW w:w="932" w:type="dxa"/>
            <w:noWrap w:val="0"/>
            <w:vAlign w:val="center"/>
          </w:tcPr>
          <w:p w14:paraId="3DBE9196">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b w:val="0"/>
                <w:bCs/>
                <w:sz w:val="24"/>
                <w:highlight w:val="none"/>
                <w:vertAlign w:val="baseline"/>
                <w:lang w:eastAsia="zh-CN"/>
              </w:rPr>
            </w:pPr>
            <w:r>
              <w:rPr>
                <w:rFonts w:hint="default" w:ascii="Times New Roman" w:hAnsi="Times New Roman" w:eastAsia="宋体" w:cs="Times New Roman"/>
                <w:b w:val="0"/>
                <w:bCs/>
                <w:sz w:val="24"/>
                <w:highlight w:val="none"/>
                <w:vertAlign w:val="baseline"/>
                <w:lang w:eastAsia="zh-CN"/>
              </w:rPr>
              <w:t>数量</w:t>
            </w:r>
          </w:p>
        </w:tc>
        <w:tc>
          <w:tcPr>
            <w:tcW w:w="1719" w:type="dxa"/>
            <w:noWrap w:val="0"/>
            <w:vAlign w:val="center"/>
          </w:tcPr>
          <w:p w14:paraId="192055AE">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b w:val="0"/>
                <w:bCs/>
                <w:sz w:val="24"/>
                <w:highlight w:val="none"/>
                <w:vertAlign w:val="baseline"/>
                <w:lang w:eastAsia="zh-CN"/>
              </w:rPr>
            </w:pPr>
            <w:r>
              <w:rPr>
                <w:rFonts w:hint="default" w:ascii="Times New Roman" w:hAnsi="Times New Roman" w:eastAsia="宋体" w:cs="Times New Roman"/>
                <w:b w:val="0"/>
                <w:bCs/>
                <w:sz w:val="24"/>
                <w:highlight w:val="none"/>
                <w:vertAlign w:val="baseline"/>
                <w:lang w:eastAsia="zh-CN"/>
              </w:rPr>
              <w:t>备注</w:t>
            </w:r>
          </w:p>
        </w:tc>
      </w:tr>
      <w:tr w14:paraId="27AA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64" w:type="dxa"/>
            <w:noWrap w:val="0"/>
            <w:vAlign w:val="center"/>
          </w:tcPr>
          <w:p w14:paraId="4A555EAB">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b w:val="0"/>
                <w:bCs/>
                <w:sz w:val="24"/>
                <w:highlight w:val="none"/>
                <w:vertAlign w:val="baseline"/>
                <w:lang w:val="en-US" w:eastAsia="zh-CN"/>
              </w:rPr>
            </w:pPr>
            <w:r>
              <w:rPr>
                <w:rFonts w:hint="default" w:ascii="Times New Roman" w:hAnsi="Times New Roman" w:eastAsia="宋体" w:cs="Times New Roman"/>
                <w:b w:val="0"/>
                <w:bCs/>
                <w:sz w:val="24"/>
                <w:highlight w:val="none"/>
                <w:vertAlign w:val="baseline"/>
                <w:lang w:val="en-US" w:eastAsia="zh-CN"/>
              </w:rPr>
              <w:t>1</w:t>
            </w:r>
          </w:p>
        </w:tc>
        <w:tc>
          <w:tcPr>
            <w:tcW w:w="3503" w:type="dxa"/>
            <w:noWrap w:val="0"/>
            <w:vAlign w:val="center"/>
          </w:tcPr>
          <w:p w14:paraId="4BC4A768">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left"/>
              <w:textAlignment w:val="auto"/>
              <w:rPr>
                <w:rFonts w:hint="default" w:ascii="Times New Roman" w:hAnsi="Times New Roman" w:eastAsia="宋体" w:cs="Times New Roman"/>
                <w:b w:val="0"/>
                <w:bCs/>
                <w:sz w:val="24"/>
                <w:highlight w:val="none"/>
                <w:vertAlign w:val="baseline"/>
                <w:lang w:val="en-US" w:eastAsia="zh-CN"/>
              </w:rPr>
            </w:pPr>
            <w:r>
              <w:rPr>
                <w:rFonts w:hint="default" w:ascii="Times New Roman" w:hAnsi="Times New Roman" w:eastAsia="宋体" w:cs="Times New Roman"/>
                <w:b w:val="0"/>
                <w:bCs/>
                <w:sz w:val="24"/>
                <w:highlight w:val="none"/>
                <w:vertAlign w:val="baseline"/>
                <w:lang w:val="en-US" w:eastAsia="zh-CN"/>
              </w:rPr>
              <w:t>AI智能计算服务器</w:t>
            </w:r>
          </w:p>
        </w:tc>
        <w:tc>
          <w:tcPr>
            <w:tcW w:w="1072" w:type="dxa"/>
            <w:noWrap w:val="0"/>
            <w:vAlign w:val="center"/>
          </w:tcPr>
          <w:p w14:paraId="23ECA432">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b w:val="0"/>
                <w:bCs/>
                <w:sz w:val="24"/>
                <w:highlight w:val="none"/>
                <w:vertAlign w:val="baseline"/>
                <w:lang w:eastAsia="zh-CN"/>
              </w:rPr>
            </w:pPr>
            <w:r>
              <w:rPr>
                <w:rFonts w:hint="default" w:ascii="Times New Roman" w:hAnsi="Times New Roman" w:eastAsia="宋体" w:cs="Times New Roman"/>
                <w:b w:val="0"/>
                <w:bCs/>
                <w:sz w:val="24"/>
                <w:highlight w:val="none"/>
                <w:vertAlign w:val="baseline"/>
                <w:lang w:eastAsia="zh-CN"/>
              </w:rPr>
              <w:t>台</w:t>
            </w:r>
          </w:p>
        </w:tc>
        <w:tc>
          <w:tcPr>
            <w:tcW w:w="932" w:type="dxa"/>
            <w:noWrap w:val="0"/>
            <w:vAlign w:val="center"/>
          </w:tcPr>
          <w:p w14:paraId="51D2A717">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w:t>
            </w:r>
          </w:p>
        </w:tc>
        <w:tc>
          <w:tcPr>
            <w:tcW w:w="1719" w:type="dxa"/>
            <w:vMerge w:val="restart"/>
            <w:noWrap w:val="0"/>
            <w:vAlign w:val="center"/>
          </w:tcPr>
          <w:p w14:paraId="40A0A05A">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left"/>
              <w:textAlignment w:val="auto"/>
              <w:rPr>
                <w:rFonts w:hint="default" w:ascii="Times New Roman" w:hAnsi="Times New Roman" w:eastAsia="宋体" w:cs="Times New Roman"/>
                <w:b w:val="0"/>
                <w:bCs/>
                <w:sz w:val="24"/>
                <w:highlight w:val="none"/>
                <w:lang w:val="en-US" w:eastAsia="zh-CN"/>
              </w:rPr>
            </w:pPr>
            <w:r>
              <w:rPr>
                <w:rFonts w:hint="default" w:ascii="Times New Roman" w:hAnsi="Times New Roman" w:eastAsia="宋体" w:cs="Times New Roman"/>
                <w:b w:val="0"/>
                <w:bCs/>
                <w:sz w:val="24"/>
                <w:highlight w:val="none"/>
                <w:lang w:val="en-US" w:eastAsia="zh-CN"/>
              </w:rPr>
              <w:t>不接进口产品</w:t>
            </w:r>
          </w:p>
        </w:tc>
      </w:tr>
      <w:tr w14:paraId="0E3A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64" w:type="dxa"/>
            <w:noWrap w:val="0"/>
            <w:vAlign w:val="center"/>
          </w:tcPr>
          <w:p w14:paraId="2658E1B0">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b w:val="0"/>
                <w:bCs/>
                <w:sz w:val="24"/>
                <w:highlight w:val="none"/>
                <w:vertAlign w:val="baseline"/>
                <w:lang w:val="en-US" w:eastAsia="zh-CN"/>
              </w:rPr>
            </w:pPr>
            <w:r>
              <w:rPr>
                <w:rFonts w:hint="eastAsia" w:ascii="Times New Roman" w:hAnsi="Times New Roman" w:eastAsia="宋体" w:cs="Times New Roman"/>
                <w:b w:val="0"/>
                <w:bCs/>
                <w:sz w:val="24"/>
                <w:highlight w:val="none"/>
                <w:vertAlign w:val="baseline"/>
                <w:lang w:val="en-US" w:eastAsia="zh-CN"/>
              </w:rPr>
              <w:t>2</w:t>
            </w:r>
          </w:p>
        </w:tc>
        <w:tc>
          <w:tcPr>
            <w:tcW w:w="3503" w:type="dxa"/>
            <w:noWrap w:val="0"/>
            <w:vAlign w:val="center"/>
          </w:tcPr>
          <w:p w14:paraId="50FFBA93">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left"/>
              <w:textAlignment w:val="auto"/>
              <w:rPr>
                <w:rFonts w:hint="default" w:ascii="Times New Roman" w:hAnsi="Times New Roman" w:eastAsia="宋体" w:cs="Times New Roman"/>
                <w:b w:val="0"/>
                <w:bCs/>
                <w:sz w:val="24"/>
                <w:highlight w:val="none"/>
                <w:vertAlign w:val="baseline"/>
                <w:lang w:val="en-US" w:eastAsia="zh-CN"/>
              </w:rPr>
            </w:pPr>
            <w:r>
              <w:rPr>
                <w:rFonts w:hint="eastAsia" w:ascii="Times New Roman" w:hAnsi="Times New Roman" w:eastAsia="宋体" w:cs="Times New Roman"/>
                <w:b w:val="0"/>
                <w:bCs/>
                <w:sz w:val="24"/>
                <w:highlight w:val="none"/>
                <w:vertAlign w:val="baseline"/>
                <w:lang w:val="en-US" w:eastAsia="zh-CN"/>
              </w:rPr>
              <w:t>智能计算交互平台</w:t>
            </w:r>
          </w:p>
        </w:tc>
        <w:tc>
          <w:tcPr>
            <w:tcW w:w="1072" w:type="dxa"/>
            <w:noWrap w:val="0"/>
            <w:vAlign w:val="center"/>
          </w:tcPr>
          <w:p w14:paraId="08F8B365">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b w:val="0"/>
                <w:bCs/>
                <w:sz w:val="24"/>
                <w:highlight w:val="none"/>
                <w:vertAlign w:val="baseline"/>
                <w:lang w:val="en-US" w:eastAsia="zh-CN"/>
              </w:rPr>
            </w:pPr>
            <w:r>
              <w:rPr>
                <w:rFonts w:hint="eastAsia" w:ascii="Times New Roman" w:hAnsi="Times New Roman" w:eastAsia="宋体" w:cs="Times New Roman"/>
                <w:b w:val="0"/>
                <w:bCs/>
                <w:sz w:val="24"/>
                <w:highlight w:val="none"/>
                <w:vertAlign w:val="baseline"/>
                <w:lang w:val="en-US" w:eastAsia="zh-CN"/>
              </w:rPr>
              <w:t>套</w:t>
            </w:r>
          </w:p>
        </w:tc>
        <w:tc>
          <w:tcPr>
            <w:tcW w:w="932" w:type="dxa"/>
            <w:noWrap w:val="0"/>
            <w:vAlign w:val="center"/>
          </w:tcPr>
          <w:p w14:paraId="6CF8E3C5">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w:t>
            </w:r>
          </w:p>
        </w:tc>
        <w:tc>
          <w:tcPr>
            <w:tcW w:w="1719" w:type="dxa"/>
            <w:vMerge w:val="continue"/>
            <w:noWrap w:val="0"/>
            <w:vAlign w:val="center"/>
          </w:tcPr>
          <w:p w14:paraId="04B63C14">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left"/>
              <w:textAlignment w:val="auto"/>
              <w:rPr>
                <w:rFonts w:hint="default" w:ascii="Times New Roman" w:hAnsi="Times New Roman" w:eastAsia="宋体" w:cs="Times New Roman"/>
                <w:b w:val="0"/>
                <w:bCs/>
                <w:sz w:val="24"/>
                <w:highlight w:val="none"/>
                <w:lang w:val="en-US" w:eastAsia="zh-CN"/>
              </w:rPr>
            </w:pPr>
          </w:p>
        </w:tc>
      </w:tr>
    </w:tbl>
    <w:p w14:paraId="65D01ADD">
      <w:pPr>
        <w:spacing w:line="360" w:lineRule="auto"/>
        <w:contextualSpacing/>
        <w:rPr>
          <w:rFonts w:hint="default" w:ascii="Times New Roman" w:hAnsi="Times New Roman" w:eastAsia="宋体" w:cs="Times New Roman"/>
          <w:bCs/>
          <w:sz w:val="24"/>
          <w:highlight w:val="none"/>
          <w:lang w:val="en-US"/>
        </w:rPr>
      </w:pPr>
    </w:p>
    <w:p w14:paraId="11F13A72">
      <w:pPr>
        <w:spacing w:line="360" w:lineRule="auto"/>
        <w:contextualSpacing/>
        <w:rPr>
          <w:rFonts w:ascii="Times New Roman" w:hAnsi="Times New Roman" w:eastAsia="宋体" w:cs="Times New Roman"/>
          <w:bCs/>
          <w:sz w:val="24"/>
          <w:highlight w:val="none"/>
        </w:rPr>
      </w:pPr>
      <w:r>
        <w:rPr>
          <w:rFonts w:ascii="Times New Roman" w:hAnsi="Times New Roman" w:eastAsia="宋体" w:cs="Times New Roman"/>
          <w:bCs/>
          <w:sz w:val="24"/>
          <w:highlight w:val="none"/>
        </w:rPr>
        <w:t>2. 项目背景/项目概述（如有）</w:t>
      </w:r>
    </w:p>
    <w:p w14:paraId="3A10396D">
      <w:pPr>
        <w:numPr>
          <w:ilvl w:val="0"/>
          <w:numId w:val="2"/>
        </w:numPr>
        <w:spacing w:line="360" w:lineRule="auto"/>
        <w:ind w:left="425" w:leftChars="0" w:hanging="425" w:firstLineChars="0"/>
        <w:contextualSpacing/>
        <w:rPr>
          <w:rFonts w:hint="eastAsia" w:ascii="Times New Roman" w:hAnsi="Times New Roman" w:eastAsia="宋体" w:cs="Times New Roman"/>
          <w:b/>
          <w:sz w:val="24"/>
          <w:highlight w:val="none"/>
          <w:lang w:val="en-US" w:eastAsia="zh-CN"/>
        </w:rPr>
      </w:pPr>
      <w:r>
        <w:rPr>
          <w:rFonts w:hint="eastAsia" w:ascii="Times New Roman" w:hAnsi="Times New Roman" w:eastAsia="宋体" w:cs="Times New Roman"/>
          <w:b/>
          <w:sz w:val="24"/>
          <w:highlight w:val="none"/>
          <w:lang w:val="en-US" w:eastAsia="zh-CN"/>
        </w:rPr>
        <w:t>项目背景：</w:t>
      </w:r>
    </w:p>
    <w:p w14:paraId="25B182B2">
      <w:pPr>
        <w:numPr>
          <w:ilvl w:val="0"/>
          <w:numId w:val="3"/>
        </w:numPr>
        <w:bidi w:val="0"/>
        <w:ind w:left="0" w:leftChars="0" w:firstLine="482" w:firstLineChars="200"/>
        <w:rPr>
          <w:rFonts w:hint="eastAsia" w:ascii="宋体" w:hAnsi="宋体" w:eastAsia="宋体" w:cs="宋体"/>
          <w:b/>
          <w:bCs/>
          <w:kern w:val="2"/>
          <w:sz w:val="24"/>
          <w:szCs w:val="24"/>
          <w:highlight w:val="none"/>
          <w:lang w:val="en-US" w:eastAsia="zh-CN" w:bidi="ar-SA"/>
        </w:rPr>
      </w:pPr>
      <w:bookmarkStart w:id="0" w:name="_Toc9083"/>
      <w:bookmarkStart w:id="1" w:name="heading_27"/>
      <w:r>
        <w:rPr>
          <w:rFonts w:hint="eastAsia" w:ascii="宋体" w:hAnsi="宋体" w:eastAsia="宋体" w:cs="宋体"/>
          <w:b/>
          <w:bCs/>
          <w:kern w:val="2"/>
          <w:sz w:val="24"/>
          <w:szCs w:val="24"/>
          <w:highlight w:val="none"/>
          <w:lang w:val="en-US" w:eastAsia="zh-CN" w:bidi="ar-SA"/>
        </w:rPr>
        <w:t>智慧医院建设政策导向</w:t>
      </w:r>
      <w:bookmarkEnd w:id="0"/>
      <w:bookmarkEnd w:id="1"/>
    </w:p>
    <w:p w14:paraId="137CDB07">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2024年11月6日国家卫生健康委员会、国家中医药管理局、国家疾病预防控制局联合发布的</w:t>
      </w:r>
      <w:r>
        <w:rPr>
          <w:rFonts w:hint="eastAsia" w:ascii="宋体" w:hAnsi="宋体" w:eastAsia="宋体" w:cs="宋体"/>
          <w:b/>
          <w:bCs/>
          <w:kern w:val="2"/>
          <w:sz w:val="24"/>
          <w:szCs w:val="24"/>
          <w:highlight w:val="none"/>
          <w:lang w:val="en-US" w:eastAsia="zh-CN" w:bidi="ar-SA"/>
        </w:rPr>
        <w:t>《关于印发卫生健康行业人工智能应用场景参考指引的通知》</w:t>
      </w:r>
      <w:r>
        <w:rPr>
          <w:rFonts w:hint="eastAsia" w:ascii="宋体" w:hAnsi="宋体" w:eastAsia="宋体" w:cs="宋体"/>
          <w:kern w:val="2"/>
          <w:sz w:val="24"/>
          <w:szCs w:val="24"/>
          <w:highlight w:val="none"/>
          <w:lang w:val="en-US" w:eastAsia="zh-CN" w:bidi="ar-SA"/>
        </w:rPr>
        <w:t>（2024年），该指引明确了“人工智能+”在医疗服务管理、基层公卫服务、健康产业发展、医学教学科研等四大领域的应用，涉及医学影像智能辅助诊断、智能门诊分诊、智能病历辅助生成等84个细分场景。这些场景的提出，旨在通过AI技术提升医疗服务的质量和效率，促进医疗资源的合理配置，加强医学教育和科研的创新能力。具体来说，医学影像智能辅助诊断可以帮助医生更准确地识别病变，智能门诊分诊能够优化患者就医流程，智能病历辅助生成则有助于提高病历管理的效率和质量。这些应用场景的实施，将为AI医疗解决方案项目建设提供明确的方向和具体的技术要求。该政策的出台，标志着国家对AI在医疗领域应用的高度重视和支持。通过明确具体的应用场景，政策为医疗机构和企业提供了清晰的发展方向，有助于推动AI技术在医疗领域的快速应用和普及。同时，政策还强调了AI技术在提升医疗服务质量和效率、促进医疗资源合理配置、加强医学教育和科研创新等方面的重要作用，为AI医疗解决方案项目建设提供了有力的政策支持和广阔的发展空间。</w:t>
      </w:r>
    </w:p>
    <w:p w14:paraId="659AEA6C">
      <w:pPr>
        <w:numPr>
          <w:ilvl w:val="0"/>
          <w:numId w:val="3"/>
        </w:numPr>
        <w:bidi w:val="0"/>
        <w:ind w:left="0" w:leftChars="0" w:firstLine="482" w:firstLineChars="200"/>
        <w:rPr>
          <w:rFonts w:hint="eastAsia" w:ascii="宋体" w:hAnsi="宋体" w:eastAsia="宋体" w:cs="宋体"/>
          <w:b/>
          <w:bCs/>
          <w:kern w:val="2"/>
          <w:sz w:val="24"/>
          <w:szCs w:val="24"/>
          <w:highlight w:val="none"/>
          <w:lang w:val="en-US" w:eastAsia="zh-CN" w:bidi="ar-SA"/>
        </w:rPr>
      </w:pPr>
      <w:bookmarkStart w:id="2" w:name="_Toc29288"/>
      <w:bookmarkStart w:id="3" w:name="heading_28"/>
      <w:r>
        <w:rPr>
          <w:rFonts w:hint="eastAsia" w:ascii="宋体" w:hAnsi="宋体" w:eastAsia="宋体" w:cs="宋体"/>
          <w:b/>
          <w:bCs/>
          <w:kern w:val="2"/>
          <w:sz w:val="24"/>
          <w:szCs w:val="24"/>
          <w:highlight w:val="none"/>
          <w:lang w:val="en-US" w:eastAsia="zh-CN" w:bidi="ar-SA"/>
        </w:rPr>
        <w:t>医院信息化发展现状</w:t>
      </w:r>
      <w:bookmarkEnd w:id="2"/>
      <w:bookmarkEnd w:id="3"/>
    </w:p>
    <w:p w14:paraId="069E44D0">
      <w:pPr>
        <w:spacing w:before="120" w:after="120" w:line="360" w:lineRule="auto"/>
        <w:ind w:firstLine="480" w:firstLineChars="200"/>
        <w:rPr>
          <w:rFonts w:hint="eastAsia" w:ascii="宋体" w:hAnsi="宋体" w:eastAsia="宋体" w:cs="Arial"/>
          <w:sz w:val="24"/>
          <w:highlight w:val="none"/>
        </w:rPr>
      </w:pPr>
      <w:r>
        <w:rPr>
          <w:rFonts w:hint="eastAsia" w:ascii="宋体" w:hAnsi="宋体" w:eastAsia="宋体" w:cs="Arial"/>
          <w:sz w:val="24"/>
          <w:highlight w:val="none"/>
        </w:rPr>
        <w:t>我院已完成核心业务系统（HIS、LIS、PACS、电子病历）升级改造，建成信创超融合集群，实现核心业务稳定运行。目前</w:t>
      </w:r>
      <w:r>
        <w:rPr>
          <w:rFonts w:hint="eastAsia" w:ascii="宋体" w:hAnsi="宋体" w:eastAsia="宋体" w:cs="Arial"/>
          <w:sz w:val="24"/>
          <w:highlight w:val="none"/>
          <w:lang w:val="en-US" w:eastAsia="zh-CN"/>
        </w:rPr>
        <w:t>准备</w:t>
      </w:r>
      <w:r>
        <w:rPr>
          <w:rFonts w:hint="eastAsia" w:ascii="宋体" w:hAnsi="宋体" w:eastAsia="宋体" w:cs="Arial"/>
          <w:sz w:val="24"/>
          <w:highlight w:val="none"/>
        </w:rPr>
        <w:t>引入医疗大模型解决方案，规划落地中西医结合临床辅诊、智能病历生成、医保合规审核、中医特色AI诊疗、智能患者服务等多项AI应用，但现有服务器仅能满足常规业务运算，无专用AI算力，无法支撑大模型高效推理运行，制约了各项AI功能落地。</w:t>
      </w:r>
    </w:p>
    <w:p w14:paraId="122041F6">
      <w:pPr>
        <w:numPr>
          <w:ilvl w:val="0"/>
          <w:numId w:val="3"/>
        </w:numPr>
        <w:bidi w:val="0"/>
        <w:ind w:left="0" w:leftChars="0" w:firstLine="482" w:firstLineChars="200"/>
        <w:rPr>
          <w:rFonts w:hint="eastAsia" w:ascii="宋体" w:hAnsi="宋体" w:eastAsia="宋体" w:cs="宋体"/>
          <w:b/>
          <w:bCs/>
          <w:kern w:val="2"/>
          <w:sz w:val="24"/>
          <w:szCs w:val="24"/>
          <w:highlight w:val="none"/>
          <w:lang w:val="en-US" w:eastAsia="zh-CN" w:bidi="ar-SA"/>
        </w:rPr>
      </w:pPr>
      <w:bookmarkStart w:id="4" w:name="heading_29"/>
      <w:bookmarkStart w:id="5" w:name="_Toc19061"/>
      <w:r>
        <w:rPr>
          <w:rFonts w:hint="eastAsia" w:ascii="宋体" w:hAnsi="宋体" w:eastAsia="宋体" w:cs="宋体"/>
          <w:b/>
          <w:bCs/>
          <w:kern w:val="2"/>
          <w:sz w:val="24"/>
          <w:szCs w:val="24"/>
          <w:highlight w:val="none"/>
          <w:lang w:val="en-US" w:eastAsia="zh-CN" w:bidi="ar-SA"/>
        </w:rPr>
        <w:t>算力短板制约AI应用落地</w:t>
      </w:r>
      <w:bookmarkEnd w:id="4"/>
      <w:bookmarkEnd w:id="5"/>
    </w:p>
    <w:p w14:paraId="76DA6B0F">
      <w:pPr>
        <w:spacing w:before="120" w:after="120" w:line="360" w:lineRule="auto"/>
        <w:ind w:firstLine="480" w:firstLineChars="200"/>
        <w:rPr>
          <w:rFonts w:hint="eastAsia" w:ascii="宋体" w:hAnsi="宋体" w:eastAsia="宋体" w:cs="Arial"/>
          <w:sz w:val="24"/>
          <w:highlight w:val="none"/>
        </w:rPr>
      </w:pPr>
      <w:r>
        <w:rPr>
          <w:rFonts w:hint="eastAsia" w:ascii="宋体" w:hAnsi="宋体" w:eastAsia="宋体" w:cs="Arial"/>
          <w:sz w:val="24"/>
          <w:highlight w:val="none"/>
        </w:rPr>
        <w:t>医疗大模型运行对GPU显存、算力、带宽要求极高，普通服务器无专业算力加速，会出现模型加载慢、响应时延高、并发卡顿等问题，无法满足临床实际使用需求。同时，医疗数据涉及患者隐私，必须实现私有化部署、数据不出院，严禁依托外网公有云算力，亟需搭建院内专属AI算力服务器，保障大模型安全、稳定、高效运行。</w:t>
      </w:r>
    </w:p>
    <w:p w14:paraId="23414847">
      <w:pPr>
        <w:numPr>
          <w:ilvl w:val="0"/>
          <w:numId w:val="2"/>
        </w:numPr>
        <w:spacing w:line="360" w:lineRule="auto"/>
        <w:ind w:left="425" w:leftChars="0" w:hanging="425" w:firstLineChars="0"/>
        <w:contextualSpacing/>
        <w:rPr>
          <w:rFonts w:hint="eastAsia" w:ascii="Times New Roman" w:hAnsi="Times New Roman" w:eastAsia="宋体" w:cs="Times New Roman"/>
          <w:b/>
          <w:sz w:val="24"/>
          <w:highlight w:val="none"/>
          <w:lang w:val="en-US" w:eastAsia="zh-CN"/>
        </w:rPr>
      </w:pPr>
      <w:r>
        <w:rPr>
          <w:rFonts w:hint="eastAsia" w:ascii="Times New Roman" w:hAnsi="Times New Roman" w:eastAsia="宋体" w:cs="Times New Roman"/>
          <w:b/>
          <w:sz w:val="24"/>
          <w:highlight w:val="none"/>
          <w:lang w:val="en-US" w:eastAsia="zh-CN"/>
        </w:rPr>
        <w:t>项目概述</w:t>
      </w:r>
    </w:p>
    <w:p w14:paraId="6B83A888">
      <w:pPr>
        <w:spacing w:before="120" w:after="120" w:line="360" w:lineRule="auto"/>
        <w:ind w:firstLine="480" w:firstLineChars="200"/>
        <w:rPr>
          <w:rFonts w:hint="eastAsia" w:ascii="宋体" w:hAnsi="宋体" w:eastAsia="宋体" w:cs="Arial"/>
          <w:sz w:val="24"/>
          <w:highlight w:val="none"/>
          <w:lang w:eastAsia="zh-CN"/>
        </w:rPr>
      </w:pPr>
      <w:r>
        <w:rPr>
          <w:rFonts w:hint="eastAsia" w:ascii="宋体" w:hAnsi="宋体" w:eastAsia="宋体" w:cs="Arial"/>
          <w:sz w:val="24"/>
          <w:highlight w:val="none"/>
          <w:lang w:val="en-US" w:eastAsia="zh-CN"/>
        </w:rPr>
        <w:t>通过</w:t>
      </w:r>
      <w:r>
        <w:rPr>
          <w:rFonts w:hint="eastAsia" w:ascii="宋体" w:hAnsi="宋体" w:eastAsia="宋体" w:cs="Arial"/>
          <w:sz w:val="24"/>
          <w:highlight w:val="none"/>
        </w:rPr>
        <w:t xml:space="preserve">采购 </w:t>
      </w:r>
      <w:r>
        <w:rPr>
          <w:rFonts w:hint="eastAsia" w:ascii="宋体" w:hAnsi="宋体" w:eastAsia="宋体" w:cs="Arial"/>
          <w:sz w:val="24"/>
          <w:highlight w:val="none"/>
          <w:lang w:val="en-US" w:eastAsia="zh-CN"/>
        </w:rPr>
        <w:t>1</w:t>
      </w:r>
      <w:r>
        <w:rPr>
          <w:rFonts w:hint="eastAsia" w:ascii="宋体" w:hAnsi="宋体" w:eastAsia="宋体" w:cs="Arial"/>
          <w:sz w:val="24"/>
          <w:highlight w:val="none"/>
        </w:rPr>
        <w:t xml:space="preserve"> 台高性能 AI 智能计算服务器</w:t>
      </w:r>
      <w:r>
        <w:rPr>
          <w:rFonts w:hint="eastAsia" w:ascii="宋体" w:hAnsi="宋体" w:eastAsia="宋体" w:cs="Arial"/>
          <w:sz w:val="24"/>
          <w:highlight w:val="none"/>
          <w:lang w:val="en-US" w:eastAsia="zh-CN"/>
        </w:rPr>
        <w:t>和1套</w:t>
      </w:r>
      <w:r>
        <w:rPr>
          <w:rFonts w:hint="eastAsia" w:ascii="宋体" w:hAnsi="宋体" w:eastAsia="宋体" w:cs="宋体"/>
          <w:color w:val="000000"/>
          <w:kern w:val="0"/>
          <w:sz w:val="24"/>
          <w:szCs w:val="24"/>
          <w:highlight w:val="none"/>
          <w:lang w:val="en-US" w:eastAsia="zh-CN" w:bidi="ar"/>
        </w:rPr>
        <w:t>智能计算交互平台</w:t>
      </w:r>
      <w:r>
        <w:rPr>
          <w:rFonts w:hint="eastAsia" w:ascii="宋体" w:hAnsi="宋体" w:eastAsia="宋体" w:cs="Arial"/>
          <w:sz w:val="24"/>
          <w:highlight w:val="none"/>
        </w:rPr>
        <w:t>，搭建本地化医疗 AI 算力平台，实现医疗大模型私有化部署、模型全生命周期管理，对接医院 HIS/EMR/LIS/PACS 等核心业务系统，构建智慧医院统一算力中枢</w:t>
      </w:r>
      <w:r>
        <w:rPr>
          <w:rFonts w:hint="eastAsia" w:ascii="宋体" w:hAnsi="宋体" w:eastAsia="宋体" w:cs="Arial"/>
          <w:sz w:val="24"/>
          <w:highlight w:val="none"/>
          <w:lang w:eastAsia="zh-CN"/>
        </w:rPr>
        <w:t>，</w:t>
      </w:r>
      <w:r>
        <w:rPr>
          <w:rFonts w:hint="eastAsia" w:ascii="宋体" w:hAnsi="宋体" w:eastAsia="宋体" w:cs="Arial"/>
          <w:sz w:val="24"/>
          <w:highlight w:val="none"/>
        </w:rPr>
        <w:t>全</w:t>
      </w:r>
      <w:r>
        <w:rPr>
          <w:rFonts w:hint="eastAsia" w:ascii="宋体" w:hAnsi="宋体" w:eastAsia="宋体" w:cs="Arial"/>
          <w:sz w:val="24"/>
          <w:highlight w:val="none"/>
          <w:lang w:eastAsia="zh-CN"/>
        </w:rPr>
        <w:t>面支撑医疗大模型落地应用，大幅提升临床诊疗、运营管理、患者服务效率，实现模型全生命周期管理，对接医院各类系统，构建智慧医院算力中枢，满足长期升级需求。AI智能计算服务器需满足医疗大模型算力需求，稳定可靠、兼容主流 AI 框架与异构算力；</w:t>
      </w:r>
      <w:r>
        <w:rPr>
          <w:rFonts w:hint="eastAsia" w:ascii="宋体" w:hAnsi="宋体" w:eastAsia="宋体" w:cs="宋体"/>
          <w:color w:val="000000"/>
          <w:kern w:val="0"/>
          <w:sz w:val="24"/>
          <w:szCs w:val="24"/>
          <w:highlight w:val="none"/>
          <w:lang w:val="en-US" w:eastAsia="zh-CN" w:bidi="ar"/>
        </w:rPr>
        <w:t>智能计算交互平台</w:t>
      </w:r>
      <w:r>
        <w:rPr>
          <w:rFonts w:hint="eastAsia" w:ascii="宋体" w:hAnsi="宋体" w:eastAsia="宋体" w:cs="Arial"/>
          <w:sz w:val="24"/>
          <w:highlight w:val="none"/>
          <w:lang w:eastAsia="zh-CN"/>
        </w:rPr>
        <w:t>适配医院现有系统</w:t>
      </w:r>
      <w:r>
        <w:rPr>
          <w:rFonts w:hint="eastAsia" w:ascii="宋体" w:hAnsi="宋体" w:eastAsia="宋体" w:cs="Arial"/>
          <w:sz w:val="24"/>
          <w:highlight w:val="none"/>
          <w:lang w:val="en-US" w:eastAsia="zh-CN"/>
        </w:rPr>
        <w:t>和模型</w:t>
      </w:r>
      <w:r>
        <w:rPr>
          <w:rFonts w:hint="eastAsia" w:ascii="宋体" w:hAnsi="宋体" w:eastAsia="宋体" w:cs="Arial"/>
          <w:sz w:val="24"/>
          <w:highlight w:val="none"/>
          <w:lang w:eastAsia="zh-CN"/>
        </w:rPr>
        <w:t>，功能完整、性能达标。</w:t>
      </w:r>
      <w:r>
        <w:rPr>
          <w:rFonts w:hint="eastAsia" w:ascii="宋体" w:hAnsi="宋体" w:eastAsia="宋体" w:cs="Arial"/>
          <w:sz w:val="24"/>
          <w:highlight w:val="none"/>
          <w:lang w:val="en-US" w:eastAsia="zh-CN"/>
        </w:rPr>
        <w:t>医院对于</w:t>
      </w:r>
      <w:r>
        <w:rPr>
          <w:rFonts w:hint="eastAsia" w:ascii="宋体" w:hAnsi="宋体" w:eastAsia="宋体" w:cs="Arial"/>
          <w:sz w:val="24"/>
          <w:highlight w:val="none"/>
          <w:lang w:eastAsia="zh-CN"/>
        </w:rPr>
        <w:t>AI智能计算服务器</w:t>
      </w:r>
      <w:r>
        <w:rPr>
          <w:rFonts w:hint="eastAsia" w:ascii="宋体" w:hAnsi="宋体" w:eastAsia="宋体" w:cs="Arial"/>
          <w:sz w:val="24"/>
          <w:highlight w:val="none"/>
          <w:lang w:val="en-US" w:eastAsia="zh-CN"/>
        </w:rPr>
        <w:t>设备要求安全性能好、稳定性高，服务保证7*24小时，设备性能至少满足医院未来5年的发展需要</w:t>
      </w:r>
      <w:r>
        <w:rPr>
          <w:rFonts w:hint="eastAsia" w:ascii="宋体" w:hAnsi="宋体" w:eastAsia="宋体" w:cs="Arial"/>
          <w:sz w:val="24"/>
          <w:highlight w:val="none"/>
          <w:lang w:eastAsia="zh-CN"/>
        </w:rPr>
        <w:t>，</w:t>
      </w:r>
      <w:r>
        <w:rPr>
          <w:rFonts w:hint="eastAsia" w:ascii="宋体" w:hAnsi="宋体" w:eastAsia="宋体" w:cs="Arial"/>
          <w:sz w:val="24"/>
          <w:highlight w:val="none"/>
          <w:lang w:val="en-US" w:eastAsia="zh-CN"/>
        </w:rPr>
        <w:t>并且</w:t>
      </w:r>
      <w:r>
        <w:rPr>
          <w:rFonts w:hint="eastAsia" w:ascii="宋体" w:hAnsi="宋体" w:eastAsia="宋体" w:cs="Arial"/>
          <w:sz w:val="24"/>
          <w:highlight w:val="none"/>
          <w:lang w:eastAsia="zh-CN"/>
        </w:rPr>
        <w:t>符合网络安全、数据安全及医疗行业合规要求，采用加密、隐私计算等防护措施。</w:t>
      </w:r>
    </w:p>
    <w:p w14:paraId="652CD45C">
      <w:pPr>
        <w:spacing w:before="120" w:after="120" w:line="360" w:lineRule="auto"/>
        <w:ind w:firstLine="480" w:firstLineChars="200"/>
        <w:rPr>
          <w:rFonts w:hint="eastAsia" w:ascii="宋体" w:hAnsi="宋体" w:eastAsia="宋体" w:cs="Arial"/>
          <w:sz w:val="24"/>
          <w:highlight w:val="none"/>
          <w:lang w:eastAsia="zh-CN"/>
        </w:rPr>
      </w:pPr>
    </w:p>
    <w:p w14:paraId="3B34E92D">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商务要求</w:t>
      </w:r>
    </w:p>
    <w:p w14:paraId="32F50EC5">
      <w:pPr>
        <w:spacing w:line="360" w:lineRule="auto"/>
        <w:contextualSpacing/>
        <w:rPr>
          <w:rFonts w:ascii="Times New Roman" w:hAnsi="Times New Roman" w:eastAsia="宋体" w:cs="Times New Roman"/>
          <w:i/>
          <w:sz w:val="24"/>
          <w:highlight w:val="none"/>
        </w:rPr>
      </w:pPr>
      <w:r>
        <w:rPr>
          <w:rFonts w:ascii="Times New Roman" w:hAnsi="Times New Roman" w:eastAsia="宋体" w:cs="Times New Roman"/>
          <w:sz w:val="24"/>
          <w:highlight w:val="none"/>
        </w:rPr>
        <w:t>1. 交付（实施）的时间（期限）和地点（范围）</w:t>
      </w:r>
    </w:p>
    <w:p w14:paraId="36944011">
      <w:pPr>
        <w:spacing w:before="120" w:after="120" w:line="360" w:lineRule="auto"/>
        <w:ind w:firstLine="480" w:firstLineChars="200"/>
        <w:rPr>
          <w:rFonts w:hint="eastAsia" w:ascii="宋体" w:hAnsi="宋体" w:eastAsia="宋体" w:cs="Arial"/>
          <w:sz w:val="24"/>
          <w:highlight w:val="none"/>
          <w:lang w:val="en-US" w:eastAsia="zh-CN"/>
        </w:rPr>
      </w:pPr>
      <w:r>
        <w:rPr>
          <w:rFonts w:hint="eastAsia" w:ascii="宋体" w:hAnsi="宋体" w:eastAsia="宋体" w:cs="Arial"/>
          <w:sz w:val="24"/>
          <w:highlight w:val="none"/>
        </w:rPr>
        <w:t>项目总实施周期为</w:t>
      </w:r>
      <w:r>
        <w:rPr>
          <w:rFonts w:hint="eastAsia" w:ascii="宋体" w:hAnsi="宋体" w:eastAsia="宋体" w:cs="Arial"/>
          <w:sz w:val="24"/>
          <w:highlight w:val="none"/>
          <w:lang w:val="en-US" w:eastAsia="zh-CN"/>
        </w:rPr>
        <w:t>90</w:t>
      </w:r>
      <w:r>
        <w:rPr>
          <w:rFonts w:hint="eastAsia" w:ascii="宋体" w:hAnsi="宋体" w:eastAsia="宋体" w:cs="Arial"/>
          <w:sz w:val="24"/>
          <w:highlight w:val="none"/>
        </w:rPr>
        <w:t>日历</w:t>
      </w:r>
      <w:r>
        <w:rPr>
          <w:rFonts w:hint="eastAsia" w:ascii="宋体" w:hAnsi="宋体" w:eastAsia="宋体" w:cs="Arial"/>
          <w:sz w:val="24"/>
          <w:highlight w:val="none"/>
          <w:lang w:val="en-US" w:eastAsia="zh-CN"/>
        </w:rPr>
        <w:t>日</w:t>
      </w:r>
    </w:p>
    <w:p w14:paraId="775B98FB">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立项采购阶段（30</w:t>
      </w:r>
      <w:r>
        <w:rPr>
          <w:rFonts w:hint="eastAsia" w:ascii="宋体" w:hAnsi="宋体" w:eastAsia="宋体" w:cs="Arial"/>
          <w:sz w:val="24"/>
          <w:highlight w:val="none"/>
        </w:rPr>
        <w:t>日历</w:t>
      </w:r>
      <w:r>
        <w:rPr>
          <w:rFonts w:hint="eastAsia" w:ascii="宋体" w:hAnsi="宋体" w:eastAsia="宋体" w:cs="Arial"/>
          <w:sz w:val="24"/>
          <w:highlight w:val="none"/>
          <w:lang w:val="en-US" w:eastAsia="zh-CN"/>
        </w:rPr>
        <w:t>日</w:t>
      </w:r>
      <w:r>
        <w:rPr>
          <w:rFonts w:hint="eastAsia" w:ascii="宋体" w:hAnsi="宋体" w:eastAsia="宋体" w:cs="宋体"/>
          <w:color w:val="000000"/>
          <w:kern w:val="0"/>
          <w:sz w:val="24"/>
          <w:szCs w:val="24"/>
          <w:highlight w:val="none"/>
          <w:lang w:val="en-US" w:eastAsia="zh-CN" w:bidi="ar"/>
        </w:rPr>
        <w:t>）：完成项目审批、招标采购、合同签订。</w:t>
      </w:r>
    </w:p>
    <w:p w14:paraId="47B09934">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到货验收阶段（5</w:t>
      </w:r>
      <w:r>
        <w:rPr>
          <w:rFonts w:hint="eastAsia" w:ascii="宋体" w:hAnsi="宋体" w:eastAsia="宋体" w:cs="Arial"/>
          <w:sz w:val="24"/>
          <w:highlight w:val="none"/>
        </w:rPr>
        <w:t>日历</w:t>
      </w:r>
      <w:r>
        <w:rPr>
          <w:rFonts w:hint="eastAsia" w:ascii="宋体" w:hAnsi="宋体" w:eastAsia="宋体" w:cs="Arial"/>
          <w:sz w:val="24"/>
          <w:highlight w:val="none"/>
          <w:lang w:val="en-US" w:eastAsia="zh-CN"/>
        </w:rPr>
        <w:t>日</w:t>
      </w:r>
      <w:r>
        <w:rPr>
          <w:rFonts w:hint="eastAsia" w:ascii="宋体" w:hAnsi="宋体" w:eastAsia="宋体" w:cs="宋体"/>
          <w:color w:val="000000"/>
          <w:kern w:val="0"/>
          <w:sz w:val="24"/>
          <w:szCs w:val="24"/>
          <w:highlight w:val="none"/>
          <w:lang w:val="en-US" w:eastAsia="zh-CN" w:bidi="ar"/>
        </w:rPr>
        <w:t>）：设备生产发货、到货清点、硬件检测验收。</w:t>
      </w:r>
    </w:p>
    <w:p w14:paraId="7DC34EF9">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部署调试阶段（30</w:t>
      </w:r>
      <w:r>
        <w:rPr>
          <w:rFonts w:hint="eastAsia" w:ascii="宋体" w:hAnsi="宋体" w:eastAsia="宋体" w:cs="Arial"/>
          <w:sz w:val="24"/>
          <w:highlight w:val="none"/>
        </w:rPr>
        <w:t>日历</w:t>
      </w:r>
      <w:r>
        <w:rPr>
          <w:rFonts w:hint="eastAsia" w:ascii="宋体" w:hAnsi="宋体" w:eastAsia="宋体" w:cs="Arial"/>
          <w:sz w:val="24"/>
          <w:highlight w:val="none"/>
          <w:lang w:val="en-US" w:eastAsia="zh-CN"/>
        </w:rPr>
        <w:t>日</w:t>
      </w:r>
      <w:r>
        <w:rPr>
          <w:rFonts w:hint="eastAsia" w:ascii="宋体" w:hAnsi="宋体" w:eastAsia="宋体" w:cs="宋体"/>
          <w:color w:val="000000"/>
          <w:kern w:val="0"/>
          <w:sz w:val="24"/>
          <w:szCs w:val="24"/>
          <w:highlight w:val="none"/>
          <w:lang w:val="en-US" w:eastAsia="zh-CN" w:bidi="ar"/>
        </w:rPr>
        <w:t>）：机房上架、系统安装、驱动部署、智能计算交互平台模型调试、业务联调。</w:t>
      </w:r>
    </w:p>
    <w:p w14:paraId="52B78FDC">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验收交付阶段（25</w:t>
      </w:r>
      <w:r>
        <w:rPr>
          <w:rFonts w:hint="eastAsia" w:ascii="宋体" w:hAnsi="宋体" w:eastAsia="宋体" w:cs="Arial"/>
          <w:sz w:val="24"/>
          <w:highlight w:val="none"/>
        </w:rPr>
        <w:t>日历</w:t>
      </w:r>
      <w:r>
        <w:rPr>
          <w:rFonts w:hint="eastAsia" w:ascii="宋体" w:hAnsi="宋体" w:eastAsia="宋体" w:cs="Arial"/>
          <w:sz w:val="24"/>
          <w:highlight w:val="none"/>
          <w:lang w:val="en-US" w:eastAsia="zh-CN"/>
        </w:rPr>
        <w:t>日</w:t>
      </w:r>
      <w:r>
        <w:rPr>
          <w:rFonts w:hint="eastAsia" w:ascii="宋体" w:hAnsi="宋体" w:eastAsia="宋体" w:cs="宋体"/>
          <w:color w:val="000000"/>
          <w:kern w:val="0"/>
          <w:sz w:val="24"/>
          <w:szCs w:val="24"/>
          <w:highlight w:val="none"/>
          <w:lang w:val="en-US" w:eastAsia="zh-CN" w:bidi="ar"/>
        </w:rPr>
        <w:t>）：功能测试、性能测试、安全测试、验收交付、运维培训.</w:t>
      </w:r>
    </w:p>
    <w:p w14:paraId="6F55E67B">
      <w:pPr>
        <w:spacing w:before="120" w:after="120" w:line="360" w:lineRule="auto"/>
        <w:ind w:firstLine="480" w:firstLineChars="200"/>
        <w:rPr>
          <w:rFonts w:hint="default" w:ascii="宋体" w:hAnsi="宋体" w:eastAsia="宋体" w:cs="Arial"/>
          <w:sz w:val="24"/>
          <w:highlight w:val="none"/>
          <w:lang w:val="en-US" w:eastAsia="zh-CN"/>
        </w:rPr>
      </w:pPr>
      <w:r>
        <w:rPr>
          <w:rFonts w:hint="eastAsia" w:ascii="宋体" w:hAnsi="宋体" w:eastAsia="宋体" w:cs="Arial"/>
          <w:sz w:val="24"/>
          <w:highlight w:val="none"/>
          <w:lang w:val="en-US" w:eastAsia="zh-CN"/>
        </w:rPr>
        <w:t xml:space="preserve"> 交付地点:北京市昌平区回龙观街道南店路7号院</w:t>
      </w:r>
    </w:p>
    <w:p w14:paraId="39FDB903">
      <w:pPr>
        <w:spacing w:before="120" w:after="120" w:line="360" w:lineRule="auto"/>
        <w:ind w:firstLine="480" w:firstLineChars="200"/>
        <w:rPr>
          <w:rFonts w:hint="default" w:ascii="宋体" w:hAnsi="宋体" w:eastAsia="宋体" w:cs="Arial"/>
          <w:sz w:val="24"/>
          <w:highlight w:val="none"/>
          <w:lang w:val="en-US" w:eastAsia="zh-CN"/>
        </w:rPr>
      </w:pPr>
    </w:p>
    <w:p w14:paraId="6F4EE826">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 付款条件（进度和方式）</w:t>
      </w:r>
    </w:p>
    <w:p w14:paraId="53F62E09">
      <w:pPr>
        <w:spacing w:before="120" w:after="120" w:line="360" w:lineRule="auto"/>
        <w:ind w:firstLine="480" w:firstLineChars="200"/>
        <w:rPr>
          <w:rFonts w:hint="eastAsia" w:ascii="宋体" w:hAnsi="宋体" w:eastAsia="宋体" w:cs="Arial"/>
          <w:sz w:val="24"/>
          <w:highlight w:val="none"/>
          <w:lang w:eastAsia="zh-CN"/>
        </w:rPr>
      </w:pPr>
      <w:r>
        <w:rPr>
          <w:rFonts w:hint="eastAsia" w:ascii="宋体" w:hAnsi="宋体" w:eastAsia="宋体" w:cs="Arial"/>
          <w:sz w:val="24"/>
          <w:highlight w:val="none"/>
        </w:rPr>
        <w:t>（1）</w:t>
      </w:r>
      <w:r>
        <w:rPr>
          <w:rFonts w:hint="eastAsia" w:ascii="宋体" w:hAnsi="宋体" w:eastAsia="宋体" w:cs="Arial"/>
          <w:sz w:val="24"/>
          <w:highlight w:val="none"/>
          <w:lang w:val="en-US" w:eastAsia="zh-CN"/>
        </w:rPr>
        <w:t>.</w:t>
      </w:r>
      <w:r>
        <w:rPr>
          <w:rFonts w:hint="eastAsia" w:ascii="宋体" w:hAnsi="宋体" w:eastAsia="宋体" w:cs="Arial"/>
          <w:sz w:val="24"/>
          <w:highlight w:val="none"/>
          <w:lang w:eastAsia="zh-CN"/>
        </w:rPr>
        <w:t>双方签订合同后</w:t>
      </w:r>
      <w:r>
        <w:rPr>
          <w:rFonts w:hint="eastAsia" w:ascii="宋体" w:hAnsi="宋体" w:eastAsia="宋体" w:cs="Arial"/>
          <w:sz w:val="24"/>
          <w:highlight w:val="none"/>
          <w:lang w:val="en-US" w:eastAsia="zh-CN"/>
        </w:rPr>
        <w:t>3</w:t>
      </w:r>
      <w:r>
        <w:rPr>
          <w:rFonts w:hint="eastAsia" w:ascii="宋体" w:hAnsi="宋体" w:eastAsia="宋体" w:cs="Arial"/>
          <w:sz w:val="24"/>
          <w:highlight w:val="none"/>
          <w:lang w:eastAsia="zh-CN"/>
        </w:rPr>
        <w:t>0天内，投标人需要向采购人提供相当于合同总金额</w:t>
      </w:r>
      <w:r>
        <w:rPr>
          <w:rFonts w:hint="eastAsia" w:ascii="宋体" w:hAnsi="宋体" w:eastAsia="宋体" w:cs="Arial"/>
          <w:sz w:val="24"/>
          <w:highlight w:val="none"/>
          <w:lang w:val="en-US" w:eastAsia="zh-CN"/>
        </w:rPr>
        <w:t>5</w:t>
      </w:r>
      <w:r>
        <w:rPr>
          <w:rFonts w:hint="eastAsia" w:ascii="宋体" w:hAnsi="宋体" w:eastAsia="宋体" w:cs="Arial"/>
          <w:sz w:val="24"/>
          <w:highlight w:val="none"/>
          <w:lang w:eastAsia="zh-CN"/>
        </w:rPr>
        <w:t>%的履约保函；履约保函以银行履约保函形式提交，有效期不少于</w:t>
      </w:r>
      <w:r>
        <w:rPr>
          <w:rFonts w:hint="eastAsia" w:ascii="宋体" w:hAnsi="宋体" w:eastAsia="宋体" w:cs="Arial"/>
          <w:sz w:val="24"/>
          <w:highlight w:val="none"/>
          <w:lang w:val="en-US" w:eastAsia="zh-CN"/>
        </w:rPr>
        <w:t>36</w:t>
      </w:r>
      <w:r>
        <w:rPr>
          <w:rFonts w:hint="eastAsia" w:ascii="宋体" w:hAnsi="宋体" w:eastAsia="宋体" w:cs="Arial"/>
          <w:sz w:val="24"/>
          <w:highlight w:val="none"/>
          <w:lang w:eastAsia="zh-CN"/>
        </w:rPr>
        <w:t>个月，具体开具起始日期，以银行书面保函为准。</w:t>
      </w:r>
    </w:p>
    <w:p w14:paraId="34ABCF86">
      <w:pPr>
        <w:spacing w:before="120" w:after="120" w:line="360" w:lineRule="auto"/>
        <w:ind w:firstLine="480" w:firstLineChars="200"/>
        <w:rPr>
          <w:rFonts w:hint="eastAsia" w:ascii="宋体" w:hAnsi="宋体" w:eastAsia="宋体" w:cs="Arial"/>
          <w:sz w:val="24"/>
          <w:highlight w:val="none"/>
        </w:rPr>
      </w:pPr>
      <w:r>
        <w:rPr>
          <w:rFonts w:hint="eastAsia" w:ascii="宋体" w:hAnsi="宋体" w:eastAsia="宋体" w:cs="Arial"/>
          <w:sz w:val="24"/>
          <w:highlight w:val="none"/>
          <w:lang w:eastAsia="zh-CN"/>
        </w:rPr>
        <w:t>（</w:t>
      </w:r>
      <w:r>
        <w:rPr>
          <w:rFonts w:hint="eastAsia" w:ascii="宋体" w:hAnsi="宋体" w:eastAsia="宋体" w:cs="Arial"/>
          <w:sz w:val="24"/>
          <w:highlight w:val="none"/>
          <w:lang w:val="en-US" w:eastAsia="zh-CN"/>
        </w:rPr>
        <w:t>2）</w:t>
      </w:r>
      <w:r>
        <w:rPr>
          <w:rFonts w:hint="eastAsia" w:ascii="宋体" w:hAnsi="宋体" w:eastAsia="宋体" w:cs="Arial"/>
          <w:sz w:val="24"/>
          <w:highlight w:val="none"/>
        </w:rPr>
        <w:t>.</w:t>
      </w:r>
      <w:r>
        <w:rPr>
          <w:rFonts w:hint="eastAsia" w:ascii="宋体" w:hAnsi="宋体" w:eastAsia="宋体" w:cs="Arial"/>
          <w:sz w:val="24"/>
          <w:highlight w:val="none"/>
          <w:lang w:val="en-US" w:eastAsia="zh-CN"/>
        </w:rPr>
        <w:t>本项目</w:t>
      </w:r>
      <w:r>
        <w:rPr>
          <w:rFonts w:hint="eastAsia" w:ascii="宋体" w:hAnsi="宋体" w:eastAsia="宋体" w:cs="Arial"/>
          <w:sz w:val="24"/>
          <w:highlight w:val="none"/>
          <w:lang w:eastAsia="zh-CN"/>
        </w:rPr>
        <w:t>验收合格</w:t>
      </w:r>
      <w:r>
        <w:rPr>
          <w:rFonts w:hint="eastAsia" w:ascii="宋体" w:hAnsi="宋体" w:eastAsia="宋体" w:cs="Arial"/>
          <w:sz w:val="24"/>
          <w:highlight w:val="none"/>
          <w:lang w:val="en-US" w:eastAsia="zh-CN"/>
        </w:rPr>
        <w:t>且在</w:t>
      </w:r>
      <w:r>
        <w:rPr>
          <w:rFonts w:hint="eastAsia" w:ascii="宋体" w:hAnsi="宋体" w:eastAsia="宋体" w:cs="Arial"/>
          <w:sz w:val="24"/>
          <w:highlight w:val="none"/>
          <w:lang w:eastAsia="zh-CN"/>
        </w:rPr>
        <w:t>采购人</w:t>
      </w:r>
      <w:r>
        <w:rPr>
          <w:rFonts w:hint="eastAsia" w:ascii="宋体" w:hAnsi="宋体" w:eastAsia="宋体" w:cs="Arial"/>
          <w:sz w:val="24"/>
          <w:highlight w:val="none"/>
          <w:lang w:val="en-US" w:eastAsia="zh-CN"/>
        </w:rPr>
        <w:t>完成固定资产入库后，</w:t>
      </w:r>
      <w:r>
        <w:rPr>
          <w:rFonts w:hint="eastAsia" w:ascii="宋体" w:hAnsi="宋体" w:eastAsia="宋体" w:cs="Arial"/>
          <w:sz w:val="24"/>
          <w:highlight w:val="none"/>
          <w:lang w:eastAsia="zh-CN"/>
        </w:rPr>
        <w:t>采购人</w:t>
      </w:r>
      <w:r>
        <w:rPr>
          <w:rFonts w:hint="eastAsia" w:ascii="宋体" w:hAnsi="宋体" w:eastAsia="宋体" w:cs="Arial"/>
          <w:sz w:val="24"/>
          <w:highlight w:val="none"/>
          <w:lang w:val="en-US" w:eastAsia="zh-CN"/>
        </w:rPr>
        <w:t>在收到</w:t>
      </w:r>
      <w:r>
        <w:rPr>
          <w:rFonts w:hint="eastAsia" w:ascii="宋体" w:hAnsi="宋体" w:eastAsia="宋体" w:cs="Arial"/>
          <w:sz w:val="24"/>
          <w:highlight w:val="none"/>
          <w:lang w:eastAsia="zh-CN"/>
        </w:rPr>
        <w:t>履约保函后</w:t>
      </w:r>
      <w:r>
        <w:rPr>
          <w:rFonts w:hint="eastAsia" w:ascii="宋体" w:hAnsi="宋体" w:eastAsia="宋体" w:cs="Arial"/>
          <w:sz w:val="24"/>
          <w:highlight w:val="none"/>
          <w:lang w:val="en-US" w:eastAsia="zh-CN"/>
        </w:rPr>
        <w:t>30</w:t>
      </w:r>
      <w:r>
        <w:rPr>
          <w:rFonts w:hint="eastAsia" w:ascii="宋体" w:hAnsi="宋体" w:eastAsia="宋体" w:cs="Arial"/>
          <w:sz w:val="24"/>
          <w:highlight w:val="none"/>
          <w:lang w:eastAsia="zh-CN"/>
        </w:rPr>
        <w:t>个工作日内，投标人向采购人提供正规合法增值税普票后</w:t>
      </w:r>
      <w:r>
        <w:rPr>
          <w:rFonts w:hint="eastAsia" w:ascii="宋体" w:hAnsi="宋体" w:eastAsia="宋体" w:cs="Arial"/>
          <w:sz w:val="24"/>
          <w:highlight w:val="none"/>
          <w:lang w:val="en-US" w:eastAsia="zh-CN"/>
        </w:rPr>
        <w:t>10个工作日内</w:t>
      </w:r>
      <w:r>
        <w:rPr>
          <w:rFonts w:hint="eastAsia" w:ascii="宋体" w:hAnsi="宋体" w:eastAsia="宋体" w:cs="Arial"/>
          <w:sz w:val="24"/>
          <w:highlight w:val="none"/>
          <w:lang w:eastAsia="zh-CN"/>
        </w:rPr>
        <w:t>向投标人支付100%合同款；付清全款后所有权归采购人。设备交付并验收合格后，所有权即转移至采购人；投标人不得以未收款为由扣留、取回设备</w:t>
      </w:r>
      <w:r>
        <w:rPr>
          <w:rFonts w:hint="eastAsia" w:ascii="宋体" w:hAnsi="宋体" w:eastAsia="宋体" w:cs="Arial"/>
          <w:sz w:val="24"/>
          <w:highlight w:val="none"/>
        </w:rPr>
        <w:t>。</w:t>
      </w:r>
    </w:p>
    <w:p w14:paraId="77AD7D2B">
      <w:pPr>
        <w:spacing w:line="360" w:lineRule="auto"/>
        <w:contextualSpacing/>
        <w:rPr>
          <w:rFonts w:ascii="Times New Roman" w:hAnsi="Times New Roman" w:eastAsia="宋体" w:cs="Times New Roman"/>
          <w:bCs/>
          <w:sz w:val="24"/>
          <w:highlight w:val="none"/>
        </w:rPr>
      </w:pPr>
    </w:p>
    <w:p w14:paraId="1BD00C60">
      <w:pPr>
        <w:numPr>
          <w:ilvl w:val="0"/>
          <w:numId w:val="5"/>
        </w:num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包装和运输</w:t>
      </w:r>
    </w:p>
    <w:p w14:paraId="06996BF1">
      <w:pPr>
        <w:numPr>
          <w:ilvl w:val="0"/>
          <w:numId w:val="0"/>
        </w:numPr>
        <w:spacing w:line="360" w:lineRule="auto"/>
        <w:ind w:firstLine="480" w:firstLineChars="200"/>
        <w:contextualSpacing/>
        <w:rPr>
          <w:rFonts w:hint="eastAsia" w:ascii="Times New Roman" w:hAnsi="Times New Roman" w:eastAsia="宋体" w:cs="Times New Roman"/>
          <w:sz w:val="24"/>
          <w:highlight w:val="none"/>
          <w:lang w:eastAsia="zh-CN"/>
        </w:rPr>
      </w:pPr>
      <w:r>
        <w:rPr>
          <w:rFonts w:ascii="Times New Roman" w:hAnsi="Times New Roman" w:eastAsia="宋体" w:cs="Times New Roman"/>
          <w:sz w:val="24"/>
          <w:highlight w:val="none"/>
        </w:rPr>
        <w:t>须满足《关于印发〈商品包装政府采购需求标准（试行）〉、〈快递包装政府采购需求标准（试行）〉的通知》（财办库﹝2020﹞123号）</w:t>
      </w:r>
      <w:r>
        <w:rPr>
          <w:rFonts w:hint="eastAsia" w:ascii="Times New Roman" w:hAnsi="Times New Roman" w:eastAsia="宋体" w:cs="Times New Roman"/>
          <w:sz w:val="24"/>
          <w:highlight w:val="none"/>
          <w:lang w:eastAsia="zh-CN"/>
        </w:rPr>
        <w:t>。</w:t>
      </w:r>
    </w:p>
    <w:p w14:paraId="1A71EA40">
      <w:pPr>
        <w:spacing w:line="360" w:lineRule="auto"/>
        <w:contextualSpacing/>
        <w:rPr>
          <w:rFonts w:ascii="Times New Roman" w:hAnsi="Times New Roman" w:eastAsia="宋体" w:cs="Times New Roman"/>
          <w:sz w:val="24"/>
          <w:highlight w:val="none"/>
        </w:rPr>
      </w:pPr>
    </w:p>
    <w:p w14:paraId="117034B2">
      <w:pPr>
        <w:numPr>
          <w:ilvl w:val="0"/>
          <w:numId w:val="5"/>
        </w:numPr>
        <w:spacing w:line="360" w:lineRule="auto"/>
        <w:ind w:left="0" w:leftChars="0" w:firstLine="0" w:firstLineChars="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售后服务（质保期）</w:t>
      </w:r>
    </w:p>
    <w:p w14:paraId="1A3B1E66">
      <w:pPr>
        <w:numPr>
          <w:ilvl w:val="0"/>
          <w:numId w:val="0"/>
        </w:numPr>
        <w:spacing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提供36个月的质保期服务，质保期内</w:t>
      </w:r>
      <w:r>
        <w:rPr>
          <w:rFonts w:hint="eastAsia" w:ascii="Times New Roman" w:hAnsi="Times New Roman" w:eastAsia="宋体" w:cs="Times New Roman"/>
          <w:sz w:val="24"/>
          <w:highlight w:val="none"/>
        </w:rPr>
        <w:t>实行每</w:t>
      </w:r>
      <w:r>
        <w:rPr>
          <w:rFonts w:hint="eastAsia" w:ascii="Times New Roman" w:hAnsi="Times New Roman" w:eastAsia="宋体" w:cs="Times New Roman"/>
          <w:sz w:val="24"/>
          <w:highlight w:val="none"/>
          <w:lang w:val="en-US" w:eastAsia="zh-CN"/>
        </w:rPr>
        <w:t>月</w:t>
      </w:r>
      <w:r>
        <w:rPr>
          <w:rFonts w:hint="eastAsia" w:ascii="Times New Roman" w:hAnsi="Times New Roman" w:eastAsia="宋体" w:cs="Times New Roman"/>
          <w:sz w:val="24"/>
          <w:highlight w:val="none"/>
        </w:rPr>
        <w:t>检查服务器运行状态、硬件指示灯、网络连通性；每</w:t>
      </w:r>
      <w:r>
        <w:rPr>
          <w:rFonts w:hint="eastAsia" w:ascii="Times New Roman" w:hAnsi="Times New Roman" w:eastAsia="宋体" w:cs="Times New Roman"/>
          <w:sz w:val="24"/>
          <w:highlight w:val="none"/>
          <w:lang w:val="en-US" w:eastAsia="zh-CN"/>
        </w:rPr>
        <w:t>季度</w:t>
      </w:r>
      <w:r>
        <w:rPr>
          <w:rFonts w:hint="eastAsia" w:ascii="Times New Roman" w:hAnsi="Times New Roman" w:eastAsia="宋体" w:cs="Times New Roman"/>
          <w:sz w:val="24"/>
          <w:highlight w:val="none"/>
        </w:rPr>
        <w:t>清理机房灰尘、排查线路隐患、校验数据备份；每月复盘运行情况、优化运行参数，做好巡检记录，及时处理小故障、小问题，延长设备使用寿命，保障系统长期稳定运行。</w:t>
      </w:r>
    </w:p>
    <w:p w14:paraId="6B43D804">
      <w:pPr>
        <w:numPr>
          <w:ilvl w:val="0"/>
          <w:numId w:val="0"/>
        </w:numPr>
        <w:spacing w:line="360" w:lineRule="auto"/>
        <w:ind w:leftChars="0"/>
        <w:contextualSpacing/>
        <w:rPr>
          <w:rFonts w:hint="default" w:ascii="Times New Roman" w:hAnsi="Times New Roman" w:eastAsia="宋体" w:cs="Times New Roman"/>
          <w:sz w:val="24"/>
          <w:highlight w:val="none"/>
          <w:lang w:val="en-US" w:eastAsia="zh-CN"/>
        </w:rPr>
      </w:pPr>
    </w:p>
    <w:p w14:paraId="5C34C469">
      <w:pPr>
        <w:spacing w:line="360" w:lineRule="auto"/>
        <w:contextualSpacing/>
        <w:rPr>
          <w:rFonts w:hint="eastAsia" w:ascii="Times New Roman" w:hAnsi="Times New Roman" w:eastAsia="宋体" w:cs="Times New Roman"/>
          <w:b/>
          <w:i/>
          <w:sz w:val="24"/>
          <w:highlight w:val="none"/>
          <w:lang w:val="en-US" w:eastAsia="zh-CN"/>
        </w:rPr>
      </w:pPr>
    </w:p>
    <w:p w14:paraId="190A3D94">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技术要求</w:t>
      </w:r>
    </w:p>
    <w:p w14:paraId="5D9EF43F">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 基本要求</w:t>
      </w:r>
    </w:p>
    <w:p w14:paraId="616CDC14">
      <w:pPr>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1.1 采购标的需实现的目标</w:t>
      </w:r>
    </w:p>
    <w:p w14:paraId="585C8EF8">
      <w:pPr>
        <w:numPr>
          <w:ilvl w:val="0"/>
          <w:numId w:val="6"/>
        </w:numPr>
        <w:spacing w:line="360" w:lineRule="auto"/>
        <w:ind w:left="845" w:leftChars="0" w:hanging="425" w:firstLineChars="0"/>
        <w:contextualSpacing/>
        <w:rPr>
          <w:rFonts w:ascii="Times New Roman" w:hAnsi="Times New Roman" w:eastAsia="宋体" w:cs="Times New Roman"/>
          <w:sz w:val="24"/>
          <w:highlight w:val="none"/>
        </w:rPr>
      </w:pPr>
      <w:r>
        <w:rPr>
          <w:rFonts w:hint="eastAsia" w:ascii="Times New Roman" w:hAnsi="Times New Roman" w:eastAsia="宋体" w:cs="Times New Roman"/>
          <w:b/>
          <w:bCs/>
          <w:sz w:val="24"/>
          <w:highlight w:val="none"/>
          <w:lang w:val="en-US" w:eastAsia="zh-CN"/>
        </w:rPr>
        <w:t>目标：</w:t>
      </w:r>
    </w:p>
    <w:p w14:paraId="3D0F8DD4">
      <w:pPr>
        <w:numPr>
          <w:ilvl w:val="0"/>
          <w:numId w:val="0"/>
        </w:numPr>
        <w:spacing w:line="360" w:lineRule="auto"/>
        <w:ind w:left="420" w:leftChars="0" w:firstLine="480" w:firstLineChars="200"/>
        <w:contextualSpacing/>
        <w:rPr>
          <w:rFonts w:hint="eastAsia" w:ascii="宋体" w:hAnsi="宋体" w:eastAsia="宋体" w:cs="Arial"/>
          <w:sz w:val="24"/>
          <w:highlight w:val="none"/>
          <w:lang w:eastAsia="zh-CN"/>
        </w:rPr>
      </w:pPr>
      <w:r>
        <w:rPr>
          <w:rFonts w:hint="eastAsia" w:ascii="宋体" w:hAnsi="宋体" w:eastAsia="宋体" w:cs="Arial"/>
          <w:sz w:val="24"/>
          <w:highlight w:val="none"/>
          <w:lang w:val="en-US" w:eastAsia="zh-CN"/>
        </w:rPr>
        <w:t>通过采购1台AI智能计算服务器和1套</w:t>
      </w:r>
      <w:r>
        <w:rPr>
          <w:rFonts w:hint="eastAsia" w:ascii="宋体" w:hAnsi="宋体" w:eastAsia="宋体" w:cs="宋体"/>
          <w:color w:val="000000"/>
          <w:kern w:val="0"/>
          <w:sz w:val="24"/>
          <w:szCs w:val="24"/>
          <w:highlight w:val="none"/>
          <w:lang w:val="en-US" w:eastAsia="zh-CN" w:bidi="ar"/>
        </w:rPr>
        <w:t>智能计算交互平台，</w:t>
      </w:r>
      <w:r>
        <w:rPr>
          <w:rFonts w:hint="eastAsia" w:ascii="宋体" w:hAnsi="宋体" w:eastAsia="宋体" w:cs="Arial"/>
          <w:sz w:val="24"/>
          <w:highlight w:val="none"/>
          <w:lang w:val="en-US" w:eastAsia="zh-CN"/>
        </w:rPr>
        <w:t>搭建本地化 AI 平</w:t>
      </w:r>
      <w:r>
        <w:rPr>
          <w:rFonts w:hint="eastAsia" w:ascii="宋体" w:hAnsi="宋体" w:eastAsia="宋体" w:cs="Arial"/>
          <w:sz w:val="24"/>
          <w:highlight w:val="none"/>
          <w:lang w:eastAsia="zh-CN"/>
        </w:rPr>
        <w:t>台，</w:t>
      </w:r>
      <w:r>
        <w:rPr>
          <w:rFonts w:hint="eastAsia" w:ascii="宋体" w:hAnsi="宋体" w:eastAsia="宋体" w:cs="Arial"/>
          <w:sz w:val="24"/>
          <w:highlight w:val="none"/>
        </w:rPr>
        <w:t>全</w:t>
      </w:r>
      <w:r>
        <w:rPr>
          <w:rFonts w:hint="eastAsia" w:ascii="宋体" w:hAnsi="宋体" w:eastAsia="宋体" w:cs="Arial"/>
          <w:sz w:val="24"/>
          <w:highlight w:val="none"/>
          <w:lang w:eastAsia="zh-CN"/>
        </w:rPr>
        <w:t>面支撑医疗大模型落地应用，大幅提升临床诊疗、运营管理、患者服务效率，实现模型全生命周期管理，对接医院各类系统，构建智慧医院算力中枢，满足长期升级需求。AI智能计算服务器需满足医疗大模型算力需求，稳定可靠、兼容主流 AI 框架与异构算力；</w:t>
      </w:r>
      <w:r>
        <w:rPr>
          <w:rFonts w:hint="eastAsia" w:ascii="宋体" w:hAnsi="宋体" w:eastAsia="宋体" w:cs="宋体"/>
          <w:color w:val="000000"/>
          <w:kern w:val="0"/>
          <w:sz w:val="24"/>
          <w:szCs w:val="24"/>
          <w:highlight w:val="none"/>
          <w:lang w:val="en-US" w:eastAsia="zh-CN" w:bidi="ar"/>
        </w:rPr>
        <w:t>智能计算交互平台</w:t>
      </w:r>
      <w:r>
        <w:rPr>
          <w:rFonts w:hint="eastAsia" w:ascii="宋体" w:hAnsi="宋体" w:eastAsia="宋体" w:cs="Arial"/>
          <w:sz w:val="24"/>
          <w:highlight w:val="none"/>
          <w:lang w:eastAsia="zh-CN"/>
        </w:rPr>
        <w:t>适配医院现有系统</w:t>
      </w:r>
      <w:r>
        <w:rPr>
          <w:rFonts w:hint="eastAsia" w:ascii="宋体" w:hAnsi="宋体" w:eastAsia="宋体" w:cs="Arial"/>
          <w:sz w:val="24"/>
          <w:highlight w:val="none"/>
          <w:lang w:val="en-US" w:eastAsia="zh-CN"/>
        </w:rPr>
        <w:t>和模型</w:t>
      </w:r>
      <w:r>
        <w:rPr>
          <w:rFonts w:hint="eastAsia" w:ascii="宋体" w:hAnsi="宋体" w:eastAsia="宋体" w:cs="Arial"/>
          <w:sz w:val="24"/>
          <w:highlight w:val="none"/>
          <w:lang w:eastAsia="zh-CN"/>
        </w:rPr>
        <w:t>，功能完整、性能达标。</w:t>
      </w:r>
      <w:r>
        <w:rPr>
          <w:rFonts w:hint="eastAsia" w:ascii="宋体" w:hAnsi="宋体" w:eastAsia="宋体" w:cs="Arial"/>
          <w:sz w:val="24"/>
          <w:highlight w:val="none"/>
          <w:lang w:val="en-US" w:eastAsia="zh-CN"/>
        </w:rPr>
        <w:t>医院对于</w:t>
      </w:r>
      <w:r>
        <w:rPr>
          <w:rFonts w:hint="eastAsia" w:ascii="宋体" w:hAnsi="宋体" w:eastAsia="宋体" w:cs="Arial"/>
          <w:sz w:val="24"/>
          <w:highlight w:val="none"/>
          <w:lang w:eastAsia="zh-CN"/>
        </w:rPr>
        <w:t>AI智能计算服务器</w:t>
      </w:r>
      <w:r>
        <w:rPr>
          <w:rFonts w:hint="eastAsia" w:ascii="宋体" w:hAnsi="宋体" w:eastAsia="宋体" w:cs="Arial"/>
          <w:sz w:val="24"/>
          <w:highlight w:val="none"/>
          <w:lang w:val="en-US" w:eastAsia="zh-CN"/>
        </w:rPr>
        <w:t>设备要求安全性能好、稳定性高，服务保证7*24小时，设备性能至少满足医院未来5年的发展需要</w:t>
      </w:r>
      <w:r>
        <w:rPr>
          <w:rFonts w:hint="eastAsia" w:ascii="宋体" w:hAnsi="宋体" w:eastAsia="宋体" w:cs="Arial"/>
          <w:sz w:val="24"/>
          <w:highlight w:val="none"/>
          <w:lang w:eastAsia="zh-CN"/>
        </w:rPr>
        <w:t>，</w:t>
      </w:r>
      <w:r>
        <w:rPr>
          <w:rFonts w:hint="eastAsia" w:ascii="宋体" w:hAnsi="宋体" w:eastAsia="宋体" w:cs="Arial"/>
          <w:sz w:val="24"/>
          <w:highlight w:val="none"/>
          <w:lang w:val="en-US" w:eastAsia="zh-CN"/>
        </w:rPr>
        <w:t>并且</w:t>
      </w:r>
      <w:r>
        <w:rPr>
          <w:rFonts w:hint="eastAsia" w:ascii="宋体" w:hAnsi="宋体" w:eastAsia="宋体" w:cs="Arial"/>
          <w:sz w:val="24"/>
          <w:highlight w:val="none"/>
          <w:lang w:eastAsia="zh-CN"/>
        </w:rPr>
        <w:t>符合网络安全、数据安全及医疗行业合规要求，采用加密、隐私计算等防护措施。</w:t>
      </w:r>
    </w:p>
    <w:p w14:paraId="46E29281">
      <w:pPr>
        <w:numPr>
          <w:ilvl w:val="0"/>
          <w:numId w:val="0"/>
        </w:numPr>
        <w:spacing w:line="360" w:lineRule="auto"/>
        <w:ind w:left="420" w:leftChars="0" w:firstLine="480" w:firstLineChars="200"/>
        <w:contextualSpacing/>
        <w:rPr>
          <w:rFonts w:hint="eastAsia" w:ascii="宋体" w:hAnsi="宋体" w:eastAsia="宋体" w:cs="Arial"/>
          <w:sz w:val="24"/>
          <w:highlight w:val="none"/>
          <w:lang w:eastAsia="zh-CN"/>
        </w:rPr>
      </w:pPr>
    </w:p>
    <w:p w14:paraId="35CFE464">
      <w:pPr>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1.2 需执行的国家相关标准、行业标准、地方标准或者其他标准、规范</w:t>
      </w:r>
    </w:p>
    <w:p w14:paraId="1F9B5D41">
      <w:pPr>
        <w:numPr>
          <w:ilvl w:val="0"/>
          <w:numId w:val="7"/>
        </w:numPr>
        <w:spacing w:line="360" w:lineRule="auto"/>
        <w:ind w:left="845" w:leftChars="0" w:hanging="425" w:firstLineChars="0"/>
        <w:contextualSpacing/>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服务器通用国家标准</w:t>
      </w:r>
    </w:p>
    <w:p w14:paraId="309A96F5">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GB/T 9813.3-2017 《计算机通用规范第 3 部分：服务器》</w:t>
      </w:r>
    </w:p>
    <w:p w14:paraId="018D57A6">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GB/T 37739-2019 《信息技术设备节能服务器能效限定值及能效等级》</w:t>
      </w:r>
    </w:p>
    <w:p w14:paraId="0C74BFBC">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GB/T 28182-2011 《信息技术服务器安全技术要求》</w:t>
      </w:r>
    </w:p>
    <w:p w14:paraId="05480E76">
      <w:pPr>
        <w:numPr>
          <w:ilvl w:val="0"/>
          <w:numId w:val="7"/>
        </w:numPr>
        <w:spacing w:line="360" w:lineRule="auto"/>
        <w:ind w:left="845" w:leftChars="0" w:hanging="425" w:firstLineChars="0"/>
        <w:contextualSpacing/>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AI 服务器专项国家标准（2024—2025 最新）</w:t>
      </w:r>
    </w:p>
    <w:p w14:paraId="4ECBC843">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GB/T 45087-2024 《人工智能服务器系统性能测试方法》</w:t>
      </w:r>
    </w:p>
    <w:p w14:paraId="7F33DDEC">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GB/T 42018-2022 《信息技术人工智能平台计算资源规范》</w:t>
      </w:r>
    </w:p>
    <w:p w14:paraId="35692012">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GB/T 46346-2025 《人工智能计算中心计算能力评估》</w:t>
      </w:r>
    </w:p>
    <w:p w14:paraId="2CEFA2C5">
      <w:pPr>
        <w:numPr>
          <w:ilvl w:val="0"/>
          <w:numId w:val="7"/>
        </w:numPr>
        <w:spacing w:line="360" w:lineRule="auto"/>
        <w:ind w:left="845" w:leftChars="0" w:hanging="425" w:firstLineChars="0"/>
        <w:contextualSpacing/>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四、信息安全与等保相关</w:t>
      </w:r>
    </w:p>
    <w:p w14:paraId="784BBA7C">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GB/T 25058-2019 《信息安全技术信息系统安全等级保护实施指南》</w:t>
      </w:r>
    </w:p>
    <w:p w14:paraId="54BBFBBB">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GB/T 25070-2019 《信息安全技术网络安全等级保护安全设计技术要求》</w:t>
      </w:r>
    </w:p>
    <w:p w14:paraId="4307B7D7">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GB/T 22239-2019 《信息安全技术网络安全等级保护基本要求》</w:t>
      </w:r>
    </w:p>
    <w:p w14:paraId="27B2476E">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GB/T 43698-2024 《网络安全技术软件供应链安全要求》</w:t>
      </w:r>
    </w:p>
    <w:p w14:paraId="3A4CA15A">
      <w:pPr>
        <w:numPr>
          <w:ilvl w:val="0"/>
          <w:numId w:val="7"/>
        </w:numPr>
        <w:spacing w:line="360" w:lineRule="auto"/>
        <w:ind w:left="845" w:leftChars="0" w:hanging="425" w:firstLineChars="0"/>
        <w:contextualSpacing/>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行业标准（电子/计算机行业）</w:t>
      </w:r>
    </w:p>
    <w:p w14:paraId="3C404BCF">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SJ/T 11941-2024 《安全可靠服务器技术要求》（国产 / 信创常用）</w:t>
      </w:r>
    </w:p>
    <w:p w14:paraId="4174EEEE">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SJ/T 11697-2019 《高密度服务器技术要求和试验方法》</w:t>
      </w:r>
    </w:p>
    <w:p w14:paraId="3CDA79B0">
      <w:pPr>
        <w:numPr>
          <w:ilvl w:val="0"/>
          <w:numId w:val="7"/>
        </w:numPr>
        <w:spacing w:line="360" w:lineRule="auto"/>
        <w:ind w:left="845" w:leftChars="0" w:hanging="425" w:firstLineChars="0"/>
        <w:contextualSpacing/>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政府采购规范</w:t>
      </w:r>
    </w:p>
    <w:p w14:paraId="19005BE6">
      <w:pPr>
        <w:numPr>
          <w:ilvl w:val="0"/>
          <w:numId w:val="8"/>
        </w:numPr>
        <w:spacing w:line="360" w:lineRule="auto"/>
        <w:ind w:left="840" w:leftChars="0" w:hanging="420" w:firstLineChars="0"/>
        <w:contextualSpacing/>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财库〔2023〕33 号 《通用服务器政府采购需求标准（2023 年版）》</w:t>
      </w:r>
    </w:p>
    <w:p w14:paraId="409E390E">
      <w:pPr>
        <w:spacing w:line="360" w:lineRule="auto"/>
        <w:contextualSpacing/>
        <w:rPr>
          <w:rFonts w:hint="default" w:ascii="Times New Roman" w:hAnsi="Times New Roman" w:eastAsia="宋体" w:cs="Times New Roman"/>
          <w:sz w:val="24"/>
          <w:highlight w:val="none"/>
          <w:lang w:val="en-US" w:eastAsia="zh-CN"/>
        </w:rPr>
      </w:pPr>
    </w:p>
    <w:p w14:paraId="20586D47">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 服务内容及要求/货物技术要求</w:t>
      </w:r>
    </w:p>
    <w:p w14:paraId="134D2E0D">
      <w:pPr>
        <w:widowControl/>
        <w:spacing w:line="360" w:lineRule="auto"/>
        <w:ind w:firstLine="480" w:firstLineChars="200"/>
        <w:contextualSpacing/>
        <w:rPr>
          <w:rFonts w:ascii="Times New Roman" w:hAnsi="Times New Roman" w:eastAsia="宋体" w:cs="Times New Roman"/>
          <w:highlight w:val="none"/>
        </w:rPr>
      </w:pPr>
      <w:r>
        <w:rPr>
          <w:rFonts w:ascii="Times New Roman" w:hAnsi="Times New Roman" w:eastAsia="宋体" w:cs="Times New Roman"/>
          <w:sz w:val="24"/>
          <w:highlight w:val="none"/>
        </w:rPr>
        <w:t>2.1采购标的需满足的性能、材料、结构、外观、质量、安全、技术规格、物理特性等要求</w:t>
      </w:r>
      <w:r>
        <w:rPr>
          <w:rFonts w:hint="eastAsia" w:ascii="Times New Roman" w:hAnsi="Times New Roman" w:eastAsia="宋体" w:cs="Times New Roman"/>
          <w:sz w:val="24"/>
          <w:highlight w:val="none"/>
          <w:lang w:eastAsia="zh-CN"/>
        </w:rPr>
        <w:t>。</w:t>
      </w:r>
    </w:p>
    <w:p w14:paraId="251FAD84">
      <w:pPr>
        <w:widowControl w:val="0"/>
        <w:tabs>
          <w:tab w:val="left" w:pos="567"/>
        </w:tabs>
        <w:spacing w:before="120" w:line="22" w:lineRule="atLeast"/>
        <w:ind w:firstLine="482"/>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★2.2.投标人承诺所投产品符合财政部、工信部发布的《通用服务器政府采购需求标准（2023年版）》(财库〔2023〕33号》中所有*指标要求，提供加盖投标人公章的承诺函，否则作无效投标处理；</w:t>
      </w:r>
    </w:p>
    <w:p w14:paraId="0DBB5EE0">
      <w:pPr>
        <w:widowControl w:val="0"/>
        <w:tabs>
          <w:tab w:val="left" w:pos="567"/>
        </w:tabs>
        <w:spacing w:before="120" w:line="22" w:lineRule="atLeast"/>
        <w:ind w:firstLine="482"/>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★2.3.投标人须提供所投服务器的</w:t>
      </w:r>
      <w:bookmarkStart w:id="6" w:name="_GoBack"/>
      <w:bookmarkEnd w:id="6"/>
      <w:r>
        <w:rPr>
          <w:rFonts w:hint="eastAsia" w:ascii="宋体" w:hAnsi="宋体" w:eastAsia="宋体" w:cs="Times New Roman"/>
          <w:kern w:val="2"/>
          <w:sz w:val="24"/>
          <w:szCs w:val="24"/>
          <w:highlight w:val="none"/>
          <w:lang w:val="en-US" w:eastAsia="zh-CN" w:bidi="ar-SA"/>
        </w:rPr>
        <w:t>CPU和操作系统的安全可靠测评结果公告截图，否则作无效投标处理。</w:t>
      </w:r>
    </w:p>
    <w:p w14:paraId="5FE71F69">
      <w:pPr>
        <w:widowControl w:val="0"/>
        <w:tabs>
          <w:tab w:val="left" w:pos="567"/>
        </w:tabs>
        <w:spacing w:before="120" w:line="22" w:lineRule="atLeast"/>
        <w:ind w:firstLine="482"/>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2.4.</w:t>
      </w:r>
      <w:r>
        <w:rPr>
          <w:rFonts w:hint="default" w:ascii="Times New Roman" w:hAnsi="Times New Roman" w:eastAsia="宋体" w:cs="Times New Roman"/>
          <w:b w:val="0"/>
          <w:bCs/>
          <w:kern w:val="2"/>
          <w:sz w:val="24"/>
          <w:szCs w:val="24"/>
          <w:highlight w:val="none"/>
          <w:vertAlign w:val="baseline"/>
          <w:lang w:val="en-US" w:eastAsia="zh-CN" w:bidi="ar-SA"/>
        </w:rPr>
        <w:t>AI智能计算服务器</w:t>
      </w:r>
    </w:p>
    <w:p w14:paraId="005C7557">
      <w:pPr>
        <w:widowControl w:val="0"/>
        <w:tabs>
          <w:tab w:val="left" w:pos="567"/>
        </w:tabs>
        <w:spacing w:before="120" w:line="22" w:lineRule="atLeast"/>
        <w:ind w:firstLine="0"/>
        <w:jc w:val="both"/>
        <w:rPr>
          <w:rFonts w:hint="eastAsia" w:ascii="宋体" w:hAnsi="宋体" w:eastAsia="宋体" w:cs="Times New Roman"/>
          <w:kern w:val="2"/>
          <w:sz w:val="24"/>
          <w:szCs w:val="24"/>
          <w:highlight w:val="none"/>
          <w:lang w:val="en-US" w:eastAsia="zh-CN" w:bidi="ar-SA"/>
        </w:rPr>
      </w:pPr>
    </w:p>
    <w:tbl>
      <w:tblPr>
        <w:tblStyle w:val="2"/>
        <w:tblW w:w="9257" w:type="dxa"/>
        <w:tblInd w:w="-264" w:type="dxa"/>
        <w:tblLayout w:type="fixed"/>
        <w:tblCellMar>
          <w:top w:w="0" w:type="dxa"/>
          <w:left w:w="108" w:type="dxa"/>
          <w:bottom w:w="0" w:type="dxa"/>
          <w:right w:w="108" w:type="dxa"/>
        </w:tblCellMar>
      </w:tblPr>
      <w:tblGrid>
        <w:gridCol w:w="655"/>
        <w:gridCol w:w="1200"/>
        <w:gridCol w:w="1118"/>
        <w:gridCol w:w="1304"/>
        <w:gridCol w:w="4980"/>
      </w:tblGrid>
      <w:tr w14:paraId="04DBC63B">
        <w:tblPrEx>
          <w:tblCellMar>
            <w:top w:w="0" w:type="dxa"/>
            <w:left w:w="108" w:type="dxa"/>
            <w:bottom w:w="0" w:type="dxa"/>
            <w:right w:w="108" w:type="dxa"/>
          </w:tblCellMar>
        </w:tblPrEx>
        <w:trPr>
          <w:trHeight w:val="303"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040377F">
            <w:pPr>
              <w:widowControl/>
              <w:jc w:val="center"/>
              <w:textAlignment w:val="center"/>
              <w:rPr>
                <w:rFonts w:ascii="宋体" w:hAnsi="宋体" w:eastAsia="宋体" w:cs="宋体"/>
                <w:b/>
                <w:bCs/>
                <w:color w:val="000000"/>
                <w:sz w:val="21"/>
                <w:szCs w:val="21"/>
                <w:highlight w:val="none"/>
              </w:rPr>
            </w:pPr>
            <w:r>
              <w:rPr>
                <w:rFonts w:hint="default" w:ascii="宋体" w:hAnsi="宋体" w:eastAsia="宋体" w:cs="宋体"/>
                <w:b/>
                <w:bCs/>
                <w:color w:val="000000"/>
                <w:sz w:val="21"/>
                <w:szCs w:val="21"/>
                <w:highlight w:val="none"/>
                <w:u w:val="none"/>
                <w:lang w:bidi="ar"/>
              </w:rPr>
              <w:t>序号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FA73570">
            <w:pPr>
              <w:widowControl/>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指标分类</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A8067ED">
            <w:pPr>
              <w:widowControl/>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一级指标</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5FF3C09">
            <w:pPr>
              <w:widowControl/>
              <w:jc w:val="center"/>
              <w:textAlignment w:val="center"/>
              <w:rPr>
                <w:rFonts w:ascii="宋体" w:hAnsi="宋体" w:eastAsia="宋体" w:cs="宋体"/>
                <w:b/>
                <w:bCs/>
                <w:color w:val="000000"/>
                <w:sz w:val="21"/>
                <w:szCs w:val="21"/>
                <w:highlight w:val="none"/>
              </w:rPr>
            </w:pPr>
            <w:r>
              <w:rPr>
                <w:rFonts w:hint="default" w:ascii="宋体" w:hAnsi="宋体" w:eastAsia="宋体" w:cs="宋体"/>
                <w:b/>
                <w:bCs/>
                <w:color w:val="000000"/>
                <w:sz w:val="21"/>
                <w:szCs w:val="21"/>
                <w:highlight w:val="none"/>
                <w:u w:val="none"/>
                <w:lang w:bidi="ar"/>
              </w:rPr>
              <w:t>二级指标</w:t>
            </w:r>
            <w:r>
              <w:rPr>
                <w:rFonts w:hint="default" w:ascii="宋体" w:hAnsi="宋体" w:eastAsia="宋体" w:cs="宋体"/>
                <w:color w:val="000000"/>
                <w:sz w:val="21"/>
                <w:szCs w:val="21"/>
                <w:highlight w:val="none"/>
                <w:u w:val="none"/>
                <w:lang w:bidi="ar"/>
              </w:rPr>
              <w:t xml:space="preserve"> </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23DC2665">
            <w:pPr>
              <w:widowControl/>
              <w:jc w:val="center"/>
              <w:textAlignment w:val="center"/>
              <w:rPr>
                <w:rFonts w:ascii="宋体" w:hAnsi="宋体" w:eastAsia="宋体" w:cs="宋体"/>
                <w:b/>
                <w:bCs/>
                <w:color w:val="000000"/>
                <w:sz w:val="21"/>
                <w:szCs w:val="21"/>
                <w:highlight w:val="none"/>
              </w:rPr>
            </w:pPr>
            <w:r>
              <w:rPr>
                <w:rFonts w:hint="default" w:ascii="宋体" w:hAnsi="宋体" w:eastAsia="宋体" w:cs="宋体"/>
                <w:b/>
                <w:bCs/>
                <w:color w:val="000000"/>
                <w:sz w:val="21"/>
                <w:szCs w:val="21"/>
                <w:highlight w:val="none"/>
                <w:u w:val="none"/>
                <w:lang w:bidi="ar"/>
              </w:rPr>
              <w:t>指标要求</w:t>
            </w:r>
          </w:p>
        </w:tc>
      </w:tr>
      <w:tr w14:paraId="4CA49470">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DA18845">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00" w:type="dxa"/>
            <w:tcBorders>
              <w:top w:val="single" w:color="auto" w:sz="4" w:space="0"/>
              <w:left w:val="single" w:color="000000" w:sz="4" w:space="0"/>
              <w:bottom w:val="single" w:color="000000" w:sz="4" w:space="0"/>
              <w:right w:val="single" w:color="000000" w:sz="4" w:space="0"/>
            </w:tcBorders>
            <w:noWrap w:val="0"/>
            <w:vAlign w:val="center"/>
          </w:tcPr>
          <w:p w14:paraId="454BCB29">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restart"/>
            <w:tcBorders>
              <w:top w:val="single" w:color="auto" w:sz="4" w:space="0"/>
              <w:left w:val="single" w:color="000000" w:sz="4" w:space="0"/>
              <w:right w:val="single" w:color="000000" w:sz="4" w:space="0"/>
            </w:tcBorders>
            <w:noWrap w:val="0"/>
            <w:vAlign w:val="center"/>
          </w:tcPr>
          <w:p w14:paraId="1E2C71C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主板规格</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2AEED1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主板内存槽数量</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55373946">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w:t>
            </w:r>
            <w:r>
              <w:rPr>
                <w:rFonts w:hint="eastAsia" w:ascii="宋体" w:hAnsi="宋体" w:eastAsia="宋体" w:cs="宋体"/>
                <w:color w:val="000000"/>
                <w:kern w:val="0"/>
                <w:sz w:val="21"/>
                <w:szCs w:val="21"/>
                <w:highlight w:val="none"/>
                <w:lang w:val="en-US" w:eastAsia="zh-CN" w:bidi="ar"/>
              </w:rPr>
              <w:t>24</w:t>
            </w:r>
            <w:r>
              <w:rPr>
                <w:rFonts w:hint="eastAsia" w:ascii="宋体" w:hAnsi="宋体" w:eastAsia="宋体" w:cs="宋体"/>
                <w:color w:val="000000"/>
                <w:kern w:val="0"/>
                <w:sz w:val="21"/>
                <w:szCs w:val="21"/>
                <w:highlight w:val="none"/>
                <w:lang w:bidi="ar"/>
              </w:rPr>
              <w:t>个DDR</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bidi="ar"/>
              </w:rPr>
              <w:t>内存插槽</w:t>
            </w:r>
          </w:p>
        </w:tc>
      </w:tr>
      <w:tr w14:paraId="76FCEC0D">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8CF1A17">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4A5719E">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2858D">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7033EB6D">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主板存储接口</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2FAE5D71">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支持SATA、SAS、M.2等存储接口</w:t>
            </w:r>
          </w:p>
        </w:tc>
      </w:tr>
      <w:tr w14:paraId="17B3BAAB">
        <w:tblPrEx>
          <w:tblCellMar>
            <w:top w:w="0" w:type="dxa"/>
            <w:left w:w="108" w:type="dxa"/>
            <w:bottom w:w="0" w:type="dxa"/>
            <w:right w:w="108" w:type="dxa"/>
          </w:tblCellMar>
        </w:tblPrEx>
        <w:trPr>
          <w:trHeight w:val="56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1CA2D35">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D114ED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A5F05">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136A4F2">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主板 PCIe插槽数量及规格</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54504E76">
            <w:pPr>
              <w:widowControl/>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PCIe5.0标准槽位≥</w:t>
            </w:r>
            <w:r>
              <w:rPr>
                <w:rFonts w:hint="eastAsia" w:ascii="宋体" w:hAnsi="宋体" w:eastAsia="宋体" w:cs="宋体"/>
                <w:color w:val="000000"/>
                <w:kern w:val="0"/>
                <w:sz w:val="21"/>
                <w:szCs w:val="21"/>
                <w:highlight w:val="none"/>
                <w:lang w:val="en-US" w:eastAsia="zh-CN" w:bidi="ar"/>
              </w:rPr>
              <w:t>8</w:t>
            </w:r>
          </w:p>
        </w:tc>
      </w:tr>
      <w:tr w14:paraId="1BFDB6D1">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7F0AE00">
            <w:pPr>
              <w:keepNext w:val="0"/>
              <w:keepLines w:val="0"/>
              <w:widowControl/>
              <w:suppressLineNumbers w:val="0"/>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CCD779">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740B9">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1A8467B7">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板载网络</w:t>
            </w:r>
          </w:p>
          <w:p w14:paraId="087CCB66">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接口</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0D67390D">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支持板载网络接口应不少于 4个 10GE 网口</w:t>
            </w:r>
          </w:p>
        </w:tc>
      </w:tr>
      <w:tr w14:paraId="4C63DC18">
        <w:tblPrEx>
          <w:tblCellMar>
            <w:top w:w="0" w:type="dxa"/>
            <w:left w:w="108" w:type="dxa"/>
            <w:bottom w:w="0" w:type="dxa"/>
            <w:right w:w="108" w:type="dxa"/>
          </w:tblCellMar>
        </w:tblPrEx>
        <w:trPr>
          <w:trHeight w:val="56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993B50A">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BA1BDB">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FE932">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02EB46B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主板 OCP 插槽数量</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2D3ACCBE">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支持OCP3.0及以上插槽的数量不少于 1 个</w:t>
            </w:r>
          </w:p>
        </w:tc>
      </w:tr>
      <w:tr w14:paraId="423AA1E8">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1A28140">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D3B9567">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74E752">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内存规格</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5AAA5B7A">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★内存数量</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27B473E7">
            <w:pPr>
              <w:widowControl/>
              <w:jc w:val="left"/>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8</w:t>
            </w:r>
          </w:p>
        </w:tc>
      </w:tr>
      <w:tr w14:paraId="05D011FB">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535B084">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0234F7">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1DBEA">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1B6458D0">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内存规格</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2CEAE907">
            <w:pPr>
              <w:widowControl/>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≥DDR</w:t>
            </w:r>
            <w:r>
              <w:rPr>
                <w:rFonts w:hint="eastAsia" w:ascii="宋体" w:hAnsi="宋体" w:eastAsia="宋体" w:cs="宋体"/>
                <w:color w:val="000000"/>
                <w:kern w:val="0"/>
                <w:sz w:val="21"/>
                <w:szCs w:val="21"/>
                <w:highlight w:val="none"/>
                <w:lang w:val="en-US" w:eastAsia="zh-CN" w:bidi="ar"/>
              </w:rPr>
              <w:t>5</w:t>
            </w:r>
          </w:p>
        </w:tc>
      </w:tr>
      <w:tr w14:paraId="43025C6C">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B37680E">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6C9AC17">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38973">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1986A33">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内存通道</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5DB9D145">
            <w:pPr>
              <w:widowControl/>
              <w:spacing w:before="100" w:beforeAutospacing="1" w:after="100" w:afterAutospacing="1"/>
              <w:ind w:firstLine="1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pacing w:val="0"/>
                <w:kern w:val="0"/>
                <w:position w:val="0"/>
                <w:sz w:val="21"/>
                <w:szCs w:val="21"/>
                <w:highlight w:val="none"/>
                <w:lang w:val="en-US" w:eastAsia="zh-CN" w:bidi="ar"/>
              </w:rPr>
              <w:t>支持可信计算3 .0。</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spacing w:val="0"/>
                <w:kern w:val="0"/>
                <w:position w:val="0"/>
                <w:sz w:val="21"/>
                <w:szCs w:val="21"/>
                <w:highlight w:val="none"/>
                <w:lang w:val="en-US" w:eastAsia="zh-CN" w:bidi="ar"/>
              </w:rPr>
              <w:t>8通道4800MT/s DDR5内存技术</w:t>
            </w:r>
          </w:p>
        </w:tc>
      </w:tr>
      <w:tr w14:paraId="5FA60047">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4D15778">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B818F07">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restart"/>
            <w:tcBorders>
              <w:top w:val="single" w:color="auto" w:sz="4" w:space="0"/>
              <w:left w:val="single" w:color="000000" w:sz="4" w:space="0"/>
              <w:right w:val="single" w:color="000000" w:sz="4" w:space="0"/>
            </w:tcBorders>
            <w:noWrap w:val="0"/>
            <w:vAlign w:val="center"/>
          </w:tcPr>
          <w:p w14:paraId="26FF6139">
            <w:pP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存储</w:t>
            </w:r>
            <w:r>
              <w:rPr>
                <w:rFonts w:hint="eastAsia" w:ascii="宋体" w:hAnsi="宋体" w:eastAsia="宋体" w:cs="宋体"/>
                <w:color w:val="000000"/>
                <w:kern w:val="0"/>
                <w:sz w:val="21"/>
                <w:szCs w:val="21"/>
                <w:highlight w:val="none"/>
                <w:lang w:val="en-US" w:eastAsia="zh-CN" w:bidi="ar"/>
              </w:rPr>
              <w:t>规格</w:t>
            </w:r>
          </w:p>
        </w:tc>
        <w:tc>
          <w:tcPr>
            <w:tcW w:w="1304" w:type="dxa"/>
            <w:tcBorders>
              <w:top w:val="single" w:color="auto" w:sz="4" w:space="0"/>
              <w:left w:val="single" w:color="000000" w:sz="4" w:space="0"/>
              <w:bottom w:val="single" w:color="000000" w:sz="4" w:space="0"/>
              <w:right w:val="single" w:color="000000" w:sz="4" w:space="0"/>
            </w:tcBorders>
            <w:noWrap w:val="0"/>
            <w:vAlign w:val="center"/>
          </w:tcPr>
          <w:p w14:paraId="5B234163">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★硬磁盘</w:t>
            </w:r>
          </w:p>
          <w:p w14:paraId="6DCA179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实配容量</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3E942005">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配置≥</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960GB+4*3840GB，</w:t>
            </w:r>
            <w:r>
              <w:rPr>
                <w:rFonts w:hint="eastAsia" w:ascii="宋体" w:hAnsi="宋体" w:eastAsia="宋体" w:cs="宋体"/>
                <w:color w:val="000000"/>
                <w:kern w:val="0"/>
                <w:sz w:val="21"/>
                <w:szCs w:val="21"/>
                <w:highlight w:val="none"/>
                <w:lang w:bidi="ar"/>
              </w:rPr>
              <w:t>SSD硬盘</w:t>
            </w:r>
          </w:p>
        </w:tc>
      </w:tr>
      <w:tr w14:paraId="0874C2A1">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60147D4">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15AE1C">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073CA">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8BDC68D">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硬盘</w:t>
            </w:r>
          </w:p>
          <w:p w14:paraId="6880D66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实配数量</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113AFA47">
            <w:pPr>
              <w:widowControl/>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实配硬盘数量≥</w:t>
            </w:r>
            <w:r>
              <w:rPr>
                <w:rFonts w:hint="eastAsia" w:ascii="宋体" w:hAnsi="宋体" w:eastAsia="宋体" w:cs="宋体"/>
                <w:color w:val="000000"/>
                <w:kern w:val="0"/>
                <w:sz w:val="21"/>
                <w:szCs w:val="21"/>
                <w:highlight w:val="none"/>
                <w:lang w:val="en-US" w:eastAsia="zh-CN" w:bidi="ar"/>
              </w:rPr>
              <w:t>6</w:t>
            </w:r>
          </w:p>
        </w:tc>
      </w:tr>
      <w:tr w14:paraId="029ACAE3">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AABDDE5">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BFA6420">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5EF6A65">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GPU</w:t>
            </w:r>
            <w:r>
              <w:rPr>
                <w:rFonts w:hint="eastAsia" w:ascii="宋体" w:hAnsi="宋体" w:eastAsia="宋体" w:cs="宋体"/>
                <w:color w:val="000000"/>
                <w:kern w:val="0"/>
                <w:sz w:val="21"/>
                <w:szCs w:val="21"/>
                <w:highlight w:val="none"/>
                <w:lang w:bidi="ar"/>
              </w:rPr>
              <w:t>卡</w:t>
            </w:r>
          </w:p>
          <w:p w14:paraId="360BE6BF">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规格</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5F967DEF">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GPU算力卡</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65247ABD">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≥实配</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块</w:t>
            </w:r>
            <w:r>
              <w:rPr>
                <w:rFonts w:hint="eastAsia" w:ascii="宋体" w:hAnsi="宋体" w:eastAsia="宋体" w:cs="宋体"/>
                <w:sz w:val="21"/>
                <w:szCs w:val="21"/>
                <w:highlight w:val="none"/>
              </w:rPr>
              <w:t>GPU</w:t>
            </w:r>
            <w:r>
              <w:rPr>
                <w:rFonts w:hint="eastAsia" w:ascii="宋体" w:hAnsi="宋体" w:eastAsia="宋体" w:cs="宋体"/>
                <w:sz w:val="21"/>
                <w:szCs w:val="21"/>
                <w:highlight w:val="none"/>
                <w:lang w:val="en-US" w:eastAsia="zh-CN"/>
              </w:rPr>
              <w:t>卡</w:t>
            </w:r>
            <w:r>
              <w:rPr>
                <w:rFonts w:hint="eastAsia" w:ascii="宋体" w:hAnsi="宋体" w:eastAsia="宋体" w:cs="宋体"/>
                <w:sz w:val="21"/>
                <w:szCs w:val="21"/>
                <w:highlight w:val="none"/>
              </w:rPr>
              <w:t>，每个GPU卡的性能要求：</w:t>
            </w:r>
            <w:r>
              <w:rPr>
                <w:rFonts w:hint="eastAsia" w:ascii="宋体" w:hAnsi="宋体" w:eastAsia="宋体" w:cs="宋体"/>
                <w:sz w:val="21"/>
                <w:szCs w:val="21"/>
                <w:highlight w:val="none"/>
                <w:lang w:val="en-US" w:eastAsia="zh-CN"/>
              </w:rPr>
              <w:t>并行计算流处理器核心总数</w:t>
            </w:r>
            <w:r>
              <w:rPr>
                <w:rFonts w:ascii="宋体" w:hAnsi="宋体" w:eastAsia="宋体" w:cs="宋体"/>
                <w:sz w:val="24"/>
                <w:szCs w:val="24"/>
                <w:highlight w:val="none"/>
              </w:rPr>
              <w:t>≥</w:t>
            </w:r>
            <w:r>
              <w:rPr>
                <w:rFonts w:hint="eastAsia" w:ascii="宋体" w:hAnsi="宋体" w:eastAsia="宋体" w:cs="宋体"/>
                <w:sz w:val="21"/>
                <w:szCs w:val="21"/>
                <w:highlight w:val="none"/>
              </w:rPr>
              <w:t xml:space="preserve">24064 ，FP32 </w:t>
            </w:r>
            <w:r>
              <w:rPr>
                <w:rFonts w:ascii="宋体" w:hAnsi="宋体" w:eastAsia="宋体" w:cs="宋体"/>
                <w:sz w:val="24"/>
                <w:szCs w:val="24"/>
                <w:highlight w:val="none"/>
              </w:rPr>
              <w:t>≥</w:t>
            </w:r>
            <w:r>
              <w:rPr>
                <w:rFonts w:hint="eastAsia" w:ascii="宋体" w:hAnsi="宋体" w:eastAsia="宋体" w:cs="宋体"/>
                <w:sz w:val="21"/>
                <w:szCs w:val="21"/>
                <w:highlight w:val="none"/>
              </w:rPr>
              <w:t xml:space="preserve"> 120TFLOPS</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GPU显存</w:t>
            </w:r>
            <w:r>
              <w:rPr>
                <w:rFonts w:ascii="宋体" w:hAnsi="宋体" w:eastAsia="宋体" w:cs="宋体"/>
                <w:sz w:val="24"/>
                <w:szCs w:val="24"/>
                <w:highlight w:val="none"/>
              </w:rPr>
              <w:t>≥</w:t>
            </w:r>
            <w:r>
              <w:rPr>
                <w:rFonts w:hint="eastAsia" w:ascii="宋体" w:hAnsi="宋体" w:eastAsia="宋体" w:cs="宋体"/>
                <w:sz w:val="21"/>
                <w:szCs w:val="21"/>
                <w:highlight w:val="none"/>
              </w:rPr>
              <w:t>96GB</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GDDR7带ECC纠错功能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显存</w:t>
            </w:r>
            <w:r>
              <w:rPr>
                <w:rFonts w:hint="eastAsia" w:ascii="宋体" w:hAnsi="宋体" w:eastAsia="宋体" w:cs="宋体"/>
                <w:sz w:val="21"/>
                <w:szCs w:val="21"/>
                <w:highlight w:val="none"/>
                <w:lang w:eastAsia="zh-CN"/>
              </w:rPr>
              <w:t>带宽</w:t>
            </w:r>
            <w:r>
              <w:rPr>
                <w:rFonts w:ascii="宋体" w:hAnsi="宋体" w:eastAsia="宋体" w:cs="宋体"/>
                <w:sz w:val="24"/>
                <w:szCs w:val="24"/>
                <w:highlight w:val="none"/>
              </w:rPr>
              <w:t>≥</w:t>
            </w:r>
            <w:r>
              <w:rPr>
                <w:rFonts w:hint="eastAsia" w:ascii="宋体" w:hAnsi="宋体" w:eastAsia="宋体" w:cs="宋体"/>
                <w:sz w:val="21"/>
                <w:szCs w:val="21"/>
                <w:highlight w:val="none"/>
                <w:lang w:eastAsia="zh-CN"/>
              </w:rPr>
              <w:t>1597 GB/s</w:t>
            </w:r>
            <w:r>
              <w:rPr>
                <w:rFonts w:hint="eastAsia" w:ascii="宋体" w:hAnsi="宋体" w:eastAsia="宋体" w:cs="宋体"/>
                <w:sz w:val="21"/>
                <w:szCs w:val="21"/>
                <w:highlight w:val="none"/>
              </w:rPr>
              <w:t>。需投标人提供响应承诺。</w:t>
            </w:r>
          </w:p>
        </w:tc>
      </w:tr>
      <w:tr w14:paraId="3F21043B">
        <w:tblPrEx>
          <w:tblCellMar>
            <w:top w:w="0" w:type="dxa"/>
            <w:left w:w="108" w:type="dxa"/>
            <w:bottom w:w="0" w:type="dxa"/>
            <w:right w:w="108" w:type="dxa"/>
          </w:tblCellMar>
        </w:tblPrEx>
        <w:trPr>
          <w:trHeight w:val="7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9CFCC28">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2CDB1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CA1000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网络规格</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5706B85">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★网口</w:t>
            </w:r>
          </w:p>
          <w:p w14:paraId="6B81532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速率和数量</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129A94C5">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配置≥</w:t>
            </w:r>
            <w:r>
              <w:rPr>
                <w:rFonts w:hint="eastAsia" w:ascii="宋体" w:hAnsi="宋体" w:eastAsia="宋体" w:cs="宋体"/>
                <w:color w:val="000000"/>
                <w:kern w:val="0"/>
                <w:sz w:val="21"/>
                <w:szCs w:val="21"/>
                <w:highlight w:val="none"/>
                <w:lang w:val="en-US" w:eastAsia="zh-CN" w:bidi="ar"/>
              </w:rPr>
              <w:t>1块</w:t>
            </w:r>
            <w:r>
              <w:rPr>
                <w:rFonts w:hint="eastAsia" w:ascii="宋体" w:hAnsi="宋体" w:eastAsia="宋体" w:cs="宋体"/>
                <w:color w:val="000000"/>
                <w:kern w:val="0"/>
                <w:sz w:val="21"/>
                <w:szCs w:val="21"/>
                <w:highlight w:val="none"/>
                <w:lang w:bidi="ar"/>
              </w:rPr>
              <w:t>4端口千兆网卡，≥2块双端口万兆网卡（含光模块）</w:t>
            </w:r>
          </w:p>
        </w:tc>
      </w:tr>
      <w:tr w14:paraId="354B1FCD">
        <w:tblPrEx>
          <w:tblCellMar>
            <w:top w:w="0" w:type="dxa"/>
            <w:left w:w="108" w:type="dxa"/>
            <w:bottom w:w="0" w:type="dxa"/>
            <w:right w:w="108" w:type="dxa"/>
          </w:tblCellMar>
        </w:tblPrEx>
        <w:trPr>
          <w:trHeight w:val="50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11D00DF">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2668C4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tcBorders>
              <w:top w:val="single" w:color="auto" w:sz="4" w:space="0"/>
              <w:left w:val="single" w:color="000000" w:sz="4" w:space="0"/>
              <w:bottom w:val="single" w:color="000000" w:sz="4" w:space="0"/>
              <w:right w:val="single" w:color="000000" w:sz="4" w:space="0"/>
            </w:tcBorders>
            <w:noWrap w:val="0"/>
            <w:vAlign w:val="center"/>
          </w:tcPr>
          <w:p w14:paraId="36C48976">
            <w:pP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外部接口规格</w:t>
            </w:r>
          </w:p>
        </w:tc>
        <w:tc>
          <w:tcPr>
            <w:tcW w:w="1304" w:type="dxa"/>
            <w:tcBorders>
              <w:top w:val="single" w:color="auto" w:sz="4" w:space="0"/>
              <w:left w:val="single" w:color="000000" w:sz="4" w:space="0"/>
              <w:bottom w:val="single" w:color="000000" w:sz="4" w:space="0"/>
              <w:right w:val="single" w:color="000000" w:sz="4" w:space="0"/>
            </w:tcBorders>
            <w:noWrap w:val="0"/>
            <w:vAlign w:val="center"/>
          </w:tcPr>
          <w:p w14:paraId="55F57F28">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USB 接口</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7C8E9DA5">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配备≥</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个USB3.0接口</w:t>
            </w:r>
          </w:p>
        </w:tc>
      </w:tr>
      <w:tr w14:paraId="7ADC2AD0">
        <w:tblPrEx>
          <w:tblCellMar>
            <w:top w:w="0" w:type="dxa"/>
            <w:left w:w="108" w:type="dxa"/>
            <w:bottom w:w="0" w:type="dxa"/>
            <w:right w:w="108" w:type="dxa"/>
          </w:tblCellMar>
        </w:tblPrEx>
        <w:trPr>
          <w:trHeight w:val="34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E531361">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C201621">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restart"/>
            <w:tcBorders>
              <w:top w:val="single" w:color="auto" w:sz="4" w:space="0"/>
              <w:left w:val="single" w:color="000000" w:sz="4" w:space="0"/>
              <w:right w:val="single" w:color="000000" w:sz="4" w:space="0"/>
            </w:tcBorders>
            <w:noWrap w:val="0"/>
            <w:vAlign w:val="center"/>
          </w:tcPr>
          <w:p w14:paraId="05B8C7A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电源规格</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18AFB91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★电源模块数量</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31A53BC8">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4</w:t>
            </w:r>
          </w:p>
        </w:tc>
      </w:tr>
      <w:tr w14:paraId="345A2CE9">
        <w:tblPrEx>
          <w:tblCellMar>
            <w:top w:w="0" w:type="dxa"/>
            <w:left w:w="108" w:type="dxa"/>
            <w:bottom w:w="0" w:type="dxa"/>
            <w:right w:w="108" w:type="dxa"/>
          </w:tblCellMar>
        </w:tblPrEx>
        <w:trPr>
          <w:trHeight w:val="34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7C71F5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003F79">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产品规格</w:t>
            </w:r>
          </w:p>
        </w:tc>
        <w:tc>
          <w:tcPr>
            <w:tcW w:w="1118" w:type="dxa"/>
            <w:vMerge w:val="continue"/>
            <w:tcBorders>
              <w:left w:val="single" w:color="000000" w:sz="4" w:space="0"/>
              <w:bottom w:val="single" w:color="auto" w:sz="4" w:space="0"/>
              <w:right w:val="single" w:color="000000" w:sz="4" w:space="0"/>
            </w:tcBorders>
            <w:noWrap w:val="0"/>
            <w:vAlign w:val="center"/>
          </w:tcPr>
          <w:p w14:paraId="79B36B59">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7CF01BE">
            <w:pPr>
              <w:widowControl/>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★电源功率</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228BE46E">
            <w:pPr>
              <w:widowControl/>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单电源≥</w:t>
            </w:r>
            <w:r>
              <w:rPr>
                <w:rFonts w:hint="eastAsia" w:ascii="宋体" w:hAnsi="宋体" w:eastAsia="宋体" w:cs="宋体"/>
                <w:color w:val="000000"/>
                <w:kern w:val="0"/>
                <w:sz w:val="21"/>
                <w:szCs w:val="21"/>
                <w:highlight w:val="none"/>
                <w:lang w:val="en-US" w:eastAsia="zh-CN" w:bidi="ar"/>
              </w:rPr>
              <w:t>27</w:t>
            </w:r>
            <w:r>
              <w:rPr>
                <w:rFonts w:hint="eastAsia" w:ascii="宋体" w:hAnsi="宋体" w:eastAsia="宋体" w:cs="宋体"/>
                <w:color w:val="000000"/>
                <w:kern w:val="0"/>
                <w:sz w:val="21"/>
                <w:szCs w:val="21"/>
                <w:highlight w:val="none"/>
                <w:lang w:bidi="ar"/>
              </w:rPr>
              <w:t>00W</w:t>
            </w:r>
          </w:p>
        </w:tc>
      </w:tr>
      <w:tr w14:paraId="2CD19E4E">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D95F872">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16</w:t>
            </w:r>
          </w:p>
        </w:tc>
        <w:tc>
          <w:tcPr>
            <w:tcW w:w="1200" w:type="dxa"/>
            <w:tcBorders>
              <w:top w:val="single" w:color="auto" w:sz="4" w:space="0"/>
              <w:left w:val="single" w:color="000000" w:sz="4" w:space="0"/>
              <w:bottom w:val="single" w:color="000000" w:sz="4" w:space="0"/>
              <w:right w:val="single" w:color="000000" w:sz="4" w:space="0"/>
            </w:tcBorders>
            <w:noWrap w:val="0"/>
            <w:vAlign w:val="center"/>
          </w:tcPr>
          <w:p w14:paraId="7A65F986">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restart"/>
            <w:tcBorders>
              <w:top w:val="single" w:color="auto" w:sz="4" w:space="0"/>
              <w:left w:val="single" w:color="000000" w:sz="4" w:space="0"/>
              <w:bottom w:val="single" w:color="auto" w:sz="4" w:space="0"/>
              <w:right w:val="single" w:color="000000" w:sz="4" w:space="0"/>
            </w:tcBorders>
            <w:noWrap w:val="0"/>
            <w:vAlign w:val="center"/>
          </w:tcPr>
          <w:p w14:paraId="2C4CFEC9">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整机规格</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64C2A3CF">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★CPU 个数与机柜高度单位(U)比</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73F3936A">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CPU个数≥</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颗，机柜高度≥</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U</w:t>
            </w:r>
          </w:p>
        </w:tc>
      </w:tr>
      <w:tr w14:paraId="384A11A8">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1F69BE6">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6458C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continue"/>
            <w:tcBorders>
              <w:top w:val="single" w:color="auto" w:sz="4" w:space="0"/>
              <w:left w:val="single" w:color="000000" w:sz="4" w:space="0"/>
              <w:bottom w:val="single" w:color="auto" w:sz="4" w:space="0"/>
              <w:right w:val="single" w:color="000000" w:sz="4" w:space="0"/>
            </w:tcBorders>
            <w:noWrap w:val="0"/>
            <w:vAlign w:val="center"/>
          </w:tcPr>
          <w:p w14:paraId="358122B9">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5E7C209F">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sz w:val="21"/>
                <w:szCs w:val="21"/>
                <w:highlight w:val="none"/>
              </w:rPr>
              <w:t>环保要求</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73DC2AA4">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所投产品需在产品说中明确列出产品中有害物质的名称及所含有信息表，在产品说明中给出详细信息，提供材料截图及下载生产厂商官方链接。</w:t>
            </w:r>
          </w:p>
        </w:tc>
      </w:tr>
      <w:tr w14:paraId="300AB304">
        <w:tblPrEx>
          <w:tblCellMar>
            <w:top w:w="0" w:type="dxa"/>
            <w:left w:w="108" w:type="dxa"/>
            <w:bottom w:w="0" w:type="dxa"/>
            <w:right w:w="108" w:type="dxa"/>
          </w:tblCellMar>
        </w:tblPrEx>
        <w:trPr>
          <w:trHeight w:val="88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881492D">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73082C1">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产品规格</w:t>
            </w:r>
          </w:p>
        </w:tc>
        <w:tc>
          <w:tcPr>
            <w:tcW w:w="1118" w:type="dxa"/>
            <w:vMerge w:val="continue"/>
            <w:tcBorders>
              <w:top w:val="single" w:color="auto" w:sz="4" w:space="0"/>
              <w:left w:val="single" w:color="000000" w:sz="4" w:space="0"/>
              <w:bottom w:val="single" w:color="auto" w:sz="4" w:space="0"/>
              <w:right w:val="single" w:color="000000" w:sz="4" w:space="0"/>
            </w:tcBorders>
            <w:noWrap w:val="0"/>
            <w:vAlign w:val="center"/>
          </w:tcPr>
          <w:p w14:paraId="2C66CD78">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7F61F8D0">
            <w:pPr>
              <w:widowControl/>
              <w:jc w:val="both"/>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▲噪声</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5B8AD587">
            <w:pPr>
              <w:widowControl/>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符合 GB/T 9813.3 的有关规定 ，在产品说明中给出具体测试值</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sz w:val="21"/>
                <w:szCs w:val="21"/>
                <w:highlight w:val="none"/>
              </w:rPr>
              <w:t>提供材料截图及下载生产厂商官方链接。</w:t>
            </w:r>
          </w:p>
        </w:tc>
      </w:tr>
      <w:tr w14:paraId="5D812077">
        <w:tblPrEx>
          <w:tblCellMar>
            <w:top w:w="0" w:type="dxa"/>
            <w:left w:w="108" w:type="dxa"/>
            <w:bottom w:w="0" w:type="dxa"/>
            <w:right w:w="108" w:type="dxa"/>
          </w:tblCellMar>
        </w:tblPrEx>
        <w:trPr>
          <w:trHeight w:val="66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7D914A9">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34F7C3B">
            <w:pPr>
              <w:widowControl/>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产品规格</w:t>
            </w:r>
          </w:p>
        </w:tc>
        <w:tc>
          <w:tcPr>
            <w:tcW w:w="1118" w:type="dxa"/>
            <w:vMerge w:val="continue"/>
            <w:tcBorders>
              <w:top w:val="single" w:color="auto" w:sz="4" w:space="0"/>
              <w:left w:val="single" w:color="000000" w:sz="4" w:space="0"/>
              <w:bottom w:val="single" w:color="auto" w:sz="4" w:space="0"/>
              <w:right w:val="single" w:color="000000" w:sz="4" w:space="0"/>
            </w:tcBorders>
            <w:noWrap w:val="0"/>
            <w:vAlign w:val="center"/>
          </w:tcPr>
          <w:p w14:paraId="1FC05AA7">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55B3684D">
            <w:pPr>
              <w:widowControl/>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电磁泄露</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5129DEE9">
            <w:pPr>
              <w:widowControl/>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sz w:val="21"/>
                <w:szCs w:val="21"/>
                <w:highlight w:val="none"/>
              </w:rPr>
              <w:t>投标人需提供所投产品</w:t>
            </w:r>
            <w:r>
              <w:rPr>
                <w:rFonts w:hint="eastAsia" w:ascii="宋体" w:hAnsi="宋体" w:eastAsia="宋体" w:cs="宋体"/>
                <w:sz w:val="21"/>
                <w:szCs w:val="21"/>
                <w:highlight w:val="none"/>
                <w:lang w:val="en-US" w:eastAsia="zh-CN"/>
              </w:rPr>
              <w:t>第三方出具</w:t>
            </w:r>
            <w:r>
              <w:rPr>
                <w:rFonts w:hint="eastAsia" w:ascii="宋体" w:hAnsi="宋体" w:eastAsia="宋体" w:cs="宋体"/>
                <w:sz w:val="21"/>
                <w:szCs w:val="21"/>
                <w:highlight w:val="none"/>
              </w:rPr>
              <w:t>的电磁防泄漏检测报告证明文件。</w:t>
            </w:r>
          </w:p>
        </w:tc>
      </w:tr>
      <w:tr w14:paraId="2D9A0792">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937F955">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44EFFA">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性能要求</w:t>
            </w: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A6FD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CPU性能</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601DBBD6">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★CPU 主频</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5A1D2EE3">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bidi="ar"/>
              </w:rPr>
              <w:t>GHz</w:t>
            </w:r>
          </w:p>
        </w:tc>
      </w:tr>
      <w:tr w14:paraId="28CF09E4">
        <w:tblPrEx>
          <w:tblCellMar>
            <w:top w:w="0" w:type="dxa"/>
            <w:left w:w="108" w:type="dxa"/>
            <w:bottom w:w="0" w:type="dxa"/>
            <w:right w:w="108" w:type="dxa"/>
          </w:tblCellMar>
        </w:tblPrEx>
        <w:trPr>
          <w:trHeight w:val="36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5A0CB7E">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35B7926">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性能要求</w:t>
            </w: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48A7D">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FC208C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★单 CPU 核数</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566B8B44">
            <w:pPr>
              <w:widowControl/>
              <w:jc w:val="left"/>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48</w:t>
            </w:r>
          </w:p>
        </w:tc>
      </w:tr>
      <w:tr w14:paraId="00D4597B">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1223293">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477B7F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性能要求</w:t>
            </w: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55BA2">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4E8DEC8D">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★单 CPU 末级缓存容量</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2AB16F9F">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256</w:t>
            </w:r>
            <w:r>
              <w:rPr>
                <w:rFonts w:hint="eastAsia" w:ascii="宋体" w:hAnsi="宋体" w:eastAsia="宋体" w:cs="宋体"/>
                <w:color w:val="000000"/>
                <w:kern w:val="0"/>
                <w:sz w:val="21"/>
                <w:szCs w:val="21"/>
                <w:highlight w:val="none"/>
                <w:lang w:bidi="ar"/>
              </w:rPr>
              <w:t>MB</w:t>
            </w:r>
          </w:p>
        </w:tc>
      </w:tr>
      <w:tr w14:paraId="37B9945C">
        <w:tblPrEx>
          <w:tblCellMar>
            <w:top w:w="0" w:type="dxa"/>
            <w:left w:w="108" w:type="dxa"/>
            <w:bottom w:w="0" w:type="dxa"/>
            <w:right w:w="108" w:type="dxa"/>
          </w:tblCellMar>
        </w:tblPrEx>
        <w:trPr>
          <w:trHeight w:val="36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785F75B">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7BCEDE1">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性能要求</w:t>
            </w: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A726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内存性能</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1E1864D5">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★单内存模块容量</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1D4FC797">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64</w:t>
            </w:r>
            <w:r>
              <w:rPr>
                <w:rFonts w:hint="eastAsia" w:ascii="宋体" w:hAnsi="宋体" w:eastAsia="宋体" w:cs="宋体"/>
                <w:color w:val="000000"/>
                <w:kern w:val="0"/>
                <w:sz w:val="21"/>
                <w:szCs w:val="21"/>
                <w:highlight w:val="none"/>
                <w:lang w:bidi="ar"/>
              </w:rPr>
              <w:t>GB</w:t>
            </w:r>
          </w:p>
        </w:tc>
      </w:tr>
      <w:tr w14:paraId="3B69C747">
        <w:tblPrEx>
          <w:tblCellMar>
            <w:top w:w="0" w:type="dxa"/>
            <w:left w:w="108" w:type="dxa"/>
            <w:bottom w:w="0" w:type="dxa"/>
            <w:right w:w="108" w:type="dxa"/>
          </w:tblCellMar>
        </w:tblPrEx>
        <w:trPr>
          <w:trHeight w:val="22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F1DE456">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B8DED5E">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性能要求</w:t>
            </w: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B7026">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5F5A528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内存速率</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68C3BD35">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48</w:t>
            </w:r>
            <w:r>
              <w:rPr>
                <w:rFonts w:hint="eastAsia" w:ascii="宋体" w:hAnsi="宋体" w:eastAsia="宋体" w:cs="宋体"/>
                <w:color w:val="000000"/>
                <w:kern w:val="0"/>
                <w:sz w:val="21"/>
                <w:szCs w:val="21"/>
                <w:highlight w:val="none"/>
                <w:lang w:bidi="ar"/>
              </w:rPr>
              <w:t>00MHZ</w:t>
            </w:r>
          </w:p>
        </w:tc>
      </w:tr>
      <w:tr w14:paraId="2F1F57A3">
        <w:tblPrEx>
          <w:tblCellMar>
            <w:top w:w="0" w:type="dxa"/>
            <w:left w:w="108" w:type="dxa"/>
            <w:bottom w:w="0" w:type="dxa"/>
            <w:right w:w="108" w:type="dxa"/>
          </w:tblCellMar>
        </w:tblPrEx>
        <w:trPr>
          <w:trHeight w:val="336"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0A6C622">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21DF1D6">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性能要求</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834B450">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存储性能</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1CA2726D">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硬盘转速</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366EDABF">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安装的硬磁盘转速≥7200rpm</w:t>
            </w:r>
          </w:p>
        </w:tc>
      </w:tr>
      <w:tr w14:paraId="3526000D">
        <w:tblPrEx>
          <w:tblCellMar>
            <w:top w:w="0" w:type="dxa"/>
            <w:left w:w="108" w:type="dxa"/>
            <w:bottom w:w="0" w:type="dxa"/>
            <w:right w:w="108" w:type="dxa"/>
          </w:tblCellMar>
        </w:tblPrEx>
        <w:trPr>
          <w:trHeight w:val="281"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9386812">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EE1ACC">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性能要求</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7682251">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RAID卡</w:t>
            </w:r>
          </w:p>
          <w:p w14:paraId="63CD96BC">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5985E1CB">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★RAID 卡缓存容量</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58AC52DE">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配置独立 raid 卡，缓存≥2GB</w:t>
            </w:r>
          </w:p>
        </w:tc>
      </w:tr>
      <w:tr w14:paraId="65411928">
        <w:tblPrEx>
          <w:tblCellMar>
            <w:top w:w="0" w:type="dxa"/>
            <w:left w:w="108" w:type="dxa"/>
            <w:bottom w:w="0" w:type="dxa"/>
            <w:right w:w="108" w:type="dxa"/>
          </w:tblCellMar>
        </w:tblPrEx>
        <w:trPr>
          <w:trHeight w:val="56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F64EBD9">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722881">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性能要求</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D52F77D">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GPU</w:t>
            </w:r>
            <w:r>
              <w:rPr>
                <w:rFonts w:hint="eastAsia" w:ascii="宋体" w:hAnsi="宋体" w:eastAsia="宋体" w:cs="宋体"/>
                <w:color w:val="000000"/>
                <w:kern w:val="0"/>
                <w:sz w:val="21"/>
                <w:szCs w:val="21"/>
                <w:highlight w:val="none"/>
                <w:lang w:bidi="ar"/>
              </w:rPr>
              <w:t>卡</w:t>
            </w:r>
          </w:p>
          <w:p w14:paraId="165E372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D13D17F">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snapToGrid w:val="0"/>
                <w:color w:val="000000"/>
                <w:spacing w:val="-5"/>
                <w:kern w:val="0"/>
                <w:sz w:val="21"/>
                <w:szCs w:val="21"/>
                <w:highlight w:val="none"/>
              </w:rPr>
              <w:t>★</w:t>
            </w:r>
            <w:r>
              <w:rPr>
                <w:rFonts w:hint="eastAsia" w:ascii="宋体" w:hAnsi="宋体" w:eastAsia="宋体" w:cs="宋体"/>
                <w:color w:val="000000"/>
                <w:kern w:val="0"/>
                <w:sz w:val="21"/>
                <w:szCs w:val="21"/>
                <w:highlight w:val="none"/>
                <w:lang w:val="en-US" w:eastAsia="zh-CN" w:bidi="ar"/>
              </w:rPr>
              <w:t>GPU</w:t>
            </w:r>
            <w:r>
              <w:rPr>
                <w:rFonts w:hint="eastAsia" w:ascii="宋体" w:hAnsi="宋体" w:eastAsia="宋体" w:cs="宋体"/>
                <w:color w:val="000000"/>
                <w:kern w:val="0"/>
                <w:sz w:val="21"/>
                <w:szCs w:val="21"/>
                <w:highlight w:val="none"/>
                <w:lang w:bidi="ar"/>
              </w:rPr>
              <w:t>卡</w:t>
            </w:r>
            <w:r>
              <w:rPr>
                <w:rFonts w:hint="eastAsia" w:ascii="宋体" w:hAnsi="宋体" w:eastAsia="宋体" w:cs="宋体"/>
                <w:color w:val="000000"/>
                <w:kern w:val="0"/>
                <w:sz w:val="21"/>
                <w:szCs w:val="21"/>
                <w:highlight w:val="none"/>
                <w:lang w:val="en-US" w:eastAsia="zh-CN" w:bidi="ar"/>
              </w:rPr>
              <w:t>显存容量</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3DF2500D">
            <w:pPr>
              <w:widowControl/>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单卡容量96GB GDDR7</w:t>
            </w:r>
          </w:p>
        </w:tc>
      </w:tr>
      <w:tr w14:paraId="3E99FD97">
        <w:tblPrEx>
          <w:tblCellMar>
            <w:top w:w="0" w:type="dxa"/>
            <w:left w:w="108" w:type="dxa"/>
            <w:bottom w:w="0" w:type="dxa"/>
            <w:right w:w="108" w:type="dxa"/>
          </w:tblCellMar>
        </w:tblPrEx>
        <w:trPr>
          <w:trHeight w:val="32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DB4AB59">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67D63B6">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性能要求</w:t>
            </w: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0B9925">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网络</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性能</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4E216956">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独立网卡</w:t>
            </w:r>
          </w:p>
          <w:p w14:paraId="6000677F">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速率</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52F92EBF">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≥10GE</w:t>
            </w:r>
          </w:p>
        </w:tc>
      </w:tr>
      <w:tr w14:paraId="268732A9">
        <w:tblPrEx>
          <w:tblCellMar>
            <w:top w:w="0" w:type="dxa"/>
            <w:left w:w="108" w:type="dxa"/>
            <w:bottom w:w="0" w:type="dxa"/>
            <w:right w:w="108" w:type="dxa"/>
          </w:tblCellMar>
        </w:tblPrEx>
        <w:trPr>
          <w:trHeight w:val="38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7B5B8EE">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C9E31F1">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性能要求</w:t>
            </w: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6017D">
            <w:pPr>
              <w:jc w:val="center"/>
              <w:rPr>
                <w:rFonts w:hint="eastAsia" w:ascii="宋体" w:hAnsi="宋体" w:eastAsia="宋体" w:cs="宋体"/>
                <w:color w:val="000000"/>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119C127A">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板载网卡</w:t>
            </w:r>
          </w:p>
          <w:p w14:paraId="30710C8D">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速率</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76A6A756">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≥1GE</w:t>
            </w:r>
          </w:p>
        </w:tc>
      </w:tr>
      <w:tr w14:paraId="090E6633">
        <w:tblPrEx>
          <w:tblCellMar>
            <w:top w:w="0" w:type="dxa"/>
            <w:left w:w="108" w:type="dxa"/>
            <w:bottom w:w="0" w:type="dxa"/>
            <w:right w:w="108" w:type="dxa"/>
          </w:tblCellMar>
        </w:tblPrEx>
        <w:trPr>
          <w:trHeight w:val="38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2B072EC">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28468E5">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服务要求</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B3CB1A7">
            <w:pPr>
              <w:widowControl/>
              <w:spacing w:before="100" w:beforeAutospacing="1" w:after="100" w:afterAutospacing="1"/>
              <w:ind w:hanging="56"/>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pacing w:val="0"/>
                <w:kern w:val="0"/>
                <w:position w:val="0"/>
                <w:sz w:val="21"/>
                <w:szCs w:val="21"/>
                <w:highlight w:val="none"/>
                <w:lang w:val="en-US" w:eastAsia="zh-CN" w:bidi="ar"/>
              </w:rPr>
              <w:t>服务响应</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6174F8A">
            <w:pPr>
              <w:widowControl/>
              <w:spacing w:before="100" w:beforeAutospacing="1" w:after="100" w:afterAutospacing="1"/>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spacing w:val="0"/>
                <w:kern w:val="0"/>
                <w:position w:val="0"/>
                <w:sz w:val="21"/>
                <w:szCs w:val="21"/>
                <w:highlight w:val="none"/>
                <w:lang w:val="en-US" w:eastAsia="zh-CN" w:bidi="ar"/>
              </w:rPr>
              <w:t>培训服务</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69CD2640">
            <w:pPr>
              <w:widowControl/>
              <w:spacing w:before="100" w:beforeAutospacing="1" w:after="100" w:afterAutospacing="1"/>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spacing w:val="0"/>
                <w:kern w:val="0"/>
                <w:position w:val="0"/>
                <w:sz w:val="21"/>
                <w:szCs w:val="21"/>
                <w:highlight w:val="none"/>
                <w:lang w:val="en-US" w:eastAsia="zh-CN" w:bidi="ar"/>
              </w:rPr>
              <w:t>供应商提供培训服务，包含产品材料、产品手册、培训视频等培训相关内容，培训师具备</w:t>
            </w:r>
            <w:r>
              <w:rPr>
                <w:rFonts w:hint="eastAsia" w:ascii="宋体" w:hAnsi="宋体" w:eastAsia="宋体" w:cs="宋体"/>
                <w:color w:val="000000"/>
                <w:kern w:val="0"/>
                <w:sz w:val="22"/>
                <w:szCs w:val="22"/>
                <w:highlight w:val="none"/>
                <w:lang w:val="en-US" w:eastAsia="zh-CN" w:bidi="ar"/>
              </w:rPr>
              <w:t>信创规划管理师（高级）证书，并</w:t>
            </w:r>
            <w:r>
              <w:rPr>
                <w:rFonts w:hint="eastAsia" w:ascii="宋体" w:hAnsi="宋体" w:eastAsia="宋体" w:cs="宋体"/>
                <w:color w:val="000000"/>
                <w:kern w:val="0"/>
                <w:sz w:val="21"/>
                <w:szCs w:val="21"/>
                <w:highlight w:val="none"/>
                <w:lang w:val="en-US" w:eastAsia="zh-CN" w:bidi="ar"/>
              </w:rPr>
              <w:t>提供证书复印件，证书的查询链接及员在本单位社保证明</w:t>
            </w:r>
          </w:p>
        </w:tc>
      </w:tr>
      <w:tr w14:paraId="7D2CAC5C">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21E702B">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31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3534C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服务要求</w:t>
            </w:r>
          </w:p>
        </w:tc>
        <w:tc>
          <w:tcPr>
            <w:tcW w:w="1118" w:type="dxa"/>
            <w:tcBorders>
              <w:top w:val="single" w:color="auto" w:sz="4" w:space="0"/>
              <w:left w:val="single" w:color="000000" w:sz="4" w:space="0"/>
              <w:bottom w:val="single" w:color="auto" w:sz="4" w:space="0"/>
              <w:right w:val="single" w:color="000000" w:sz="4" w:space="0"/>
            </w:tcBorders>
            <w:noWrap w:val="0"/>
            <w:vAlign w:val="center"/>
          </w:tcPr>
          <w:p w14:paraId="0F0EB282">
            <w:pP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增值服务</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1B3DE31E">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000000"/>
                <w:kern w:val="0"/>
                <w:sz w:val="21"/>
                <w:szCs w:val="21"/>
                <w:highlight w:val="none"/>
                <w:lang w:bidi="ar"/>
              </w:rPr>
              <w:t>提供上门服务</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7385BFD2">
            <w:pPr>
              <w:widowControl/>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供应商具备提供上门服务的能力</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上门工程师具备</w:t>
            </w:r>
            <w:r>
              <w:rPr>
                <w:rFonts w:hint="eastAsia" w:ascii="宋体" w:hAnsi="宋体" w:eastAsia="宋体" w:cs="宋体"/>
                <w:color w:val="000000"/>
                <w:kern w:val="0"/>
                <w:sz w:val="21"/>
                <w:szCs w:val="21"/>
                <w:highlight w:val="none"/>
                <w:lang w:eastAsia="zh-CN" w:bidi="ar"/>
              </w:rPr>
              <w:t>高级数据安全工程师证书，</w:t>
            </w:r>
            <w:r>
              <w:rPr>
                <w:rFonts w:hint="eastAsia" w:ascii="宋体" w:hAnsi="宋体" w:eastAsia="宋体" w:cs="宋体"/>
                <w:color w:val="000000"/>
                <w:kern w:val="0"/>
                <w:sz w:val="21"/>
                <w:szCs w:val="21"/>
                <w:highlight w:val="none"/>
                <w:lang w:val="en-US" w:eastAsia="zh-CN" w:bidi="ar"/>
              </w:rPr>
              <w:t>并</w:t>
            </w:r>
            <w:r>
              <w:rPr>
                <w:rFonts w:hint="eastAsia" w:ascii="宋体" w:hAnsi="宋体" w:eastAsia="宋体" w:cs="宋体"/>
                <w:color w:val="000000"/>
                <w:kern w:val="0"/>
                <w:sz w:val="21"/>
                <w:szCs w:val="21"/>
                <w:highlight w:val="none"/>
                <w:lang w:eastAsia="zh-CN" w:bidi="ar"/>
              </w:rPr>
              <w:t>提供证书复印件，证书的查询链接及员在本单位社保证明</w:t>
            </w:r>
          </w:p>
        </w:tc>
      </w:tr>
    </w:tbl>
    <w:p w14:paraId="1D778179">
      <w:pPr>
        <w:widowControl/>
        <w:spacing w:line="360" w:lineRule="auto"/>
        <w:ind w:firstLine="480" w:firstLineChars="200"/>
        <w:contextualSpacing/>
        <w:rPr>
          <w:rFonts w:ascii="Times New Roman" w:hAnsi="Times New Roman" w:eastAsia="宋体" w:cs="Times New Roman"/>
          <w:sz w:val="24"/>
          <w:highlight w:val="none"/>
        </w:rPr>
      </w:pPr>
    </w:p>
    <w:p w14:paraId="67C8FA28">
      <w:pPr>
        <w:widowControl/>
        <w:spacing w:line="360" w:lineRule="auto"/>
        <w:ind w:firstLine="480" w:firstLineChars="200"/>
        <w:contextualSpacing/>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2.5.</w:t>
      </w:r>
      <w:r>
        <w:rPr>
          <w:rFonts w:hint="eastAsia" w:ascii="Times New Roman" w:hAnsi="Times New Roman" w:eastAsia="宋体" w:cs="Times New Roman"/>
          <w:b w:val="0"/>
          <w:bCs/>
          <w:sz w:val="24"/>
          <w:highlight w:val="none"/>
          <w:vertAlign w:val="baseline"/>
          <w:lang w:val="en-US" w:eastAsia="zh-CN"/>
        </w:rPr>
        <w:t>智能计算交互平台</w:t>
      </w:r>
    </w:p>
    <w:tbl>
      <w:tblPr>
        <w:tblStyle w:val="2"/>
        <w:tblW w:w="45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0"/>
        <w:gridCol w:w="991"/>
        <w:gridCol w:w="1114"/>
        <w:gridCol w:w="4799"/>
      </w:tblGrid>
      <w:tr w14:paraId="2935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1E5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序号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4A7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重要性</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05C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参数项</w:t>
            </w:r>
          </w:p>
        </w:tc>
        <w:tc>
          <w:tcPr>
            <w:tcW w:w="3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DD0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招标参数要求</w:t>
            </w:r>
          </w:p>
        </w:tc>
      </w:tr>
      <w:tr w14:paraId="603E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A91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D71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color w:val="000000"/>
                <w:kern w:val="0"/>
                <w:sz w:val="21"/>
                <w:szCs w:val="21"/>
                <w:highlight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5E3D">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容器环境</w:t>
            </w:r>
          </w:p>
        </w:tc>
        <w:tc>
          <w:tcPr>
            <w:tcW w:w="3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9C8A">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支持 Docker Compose 或 Kubernetes 等容器化部署方式，满足应用组件编排、启动、停止、升级和健康检查要求</w:t>
            </w:r>
          </w:p>
        </w:tc>
      </w:tr>
      <w:tr w14:paraId="2BB4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124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C9C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A9A7">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color w:val="000000"/>
                <w:sz w:val="21"/>
                <w:szCs w:val="21"/>
                <w:highlight w:val="none"/>
              </w:rPr>
              <w:t>系统安全认证</w:t>
            </w:r>
          </w:p>
        </w:tc>
        <w:tc>
          <w:tcPr>
            <w:tcW w:w="3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2602">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sz w:val="21"/>
                <w:szCs w:val="21"/>
                <w:highlight w:val="none"/>
              </w:rPr>
              <w:t>支持 LDAP、CAS、OIDC 、OAuth2对接方式，提供系统功能截图，投标人具有智能计算交互平台著作权登记证书扫描件</w:t>
            </w:r>
          </w:p>
        </w:tc>
      </w:tr>
      <w:tr w14:paraId="1E45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A7D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CD7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363A">
            <w:pPr>
              <w:widowControl/>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sz w:val="21"/>
                <w:szCs w:val="21"/>
                <w:highlight w:val="none"/>
              </w:rPr>
              <w:t>模型对接功能</w:t>
            </w:r>
          </w:p>
        </w:tc>
        <w:tc>
          <w:tcPr>
            <w:tcW w:w="3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85B1">
            <w:pPr>
              <w:widowControl/>
              <w:jc w:val="left"/>
              <w:textAlignment w:val="center"/>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支持本地大模型推理服务、本地 Embedding 模型服务及 OCR 文档识别模型服务</w:t>
            </w:r>
            <w:r>
              <w:rPr>
                <w:rFonts w:hint="eastAsia" w:ascii="宋体" w:hAnsi="宋体" w:eastAsia="宋体" w:cs="Times New Roman"/>
                <w:b w:val="0"/>
                <w:sz w:val="21"/>
                <w:highlight w:val="none"/>
                <w:lang w:eastAsia="zh-CN"/>
              </w:rPr>
              <w:t>。</w:t>
            </w:r>
            <w:r>
              <w:rPr>
                <w:rFonts w:hint="eastAsia" w:ascii="宋体" w:hAnsi="宋体" w:eastAsia="宋体" w:cs="宋体"/>
                <w:sz w:val="21"/>
                <w:szCs w:val="21"/>
                <w:highlight w:val="none"/>
              </w:rPr>
              <w:t>提供模型接入系统功能截图，投标人具有智能计算交互平台著作权登记证书扫描件。</w:t>
            </w:r>
          </w:p>
        </w:tc>
      </w:tr>
      <w:tr w14:paraId="1C76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BCA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86B1">
            <w:pPr>
              <w:spacing w:line="360" w:lineRule="auto"/>
              <w:jc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sz w:val="21"/>
                <w:szCs w:val="21"/>
                <w:highlight w:val="none"/>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119D">
            <w:pPr>
              <w:widowControl/>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color w:val="000000"/>
                <w:sz w:val="21"/>
                <w:szCs w:val="21"/>
                <w:highlight w:val="none"/>
              </w:rPr>
              <w:t>应用管理功能</w:t>
            </w:r>
          </w:p>
        </w:tc>
        <w:tc>
          <w:tcPr>
            <w:tcW w:w="3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DCC5">
            <w:pPr>
              <w:widowControl/>
              <w:jc w:val="left"/>
              <w:textAlignment w:val="center"/>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须完成前端、后端、任务队列、Embedding 服务、关系数据库、缓存服务、对象存储、向量数据库、图数据库等组件部署。</w:t>
            </w:r>
            <w:r>
              <w:rPr>
                <w:rFonts w:hint="eastAsia" w:ascii="宋体" w:hAnsi="宋体" w:eastAsia="宋体" w:cs="宋体"/>
                <w:sz w:val="21"/>
                <w:szCs w:val="21"/>
                <w:highlight w:val="none"/>
              </w:rPr>
              <w:t>提供应用接入系统功能截图，投标人具有智能计算交互平台著作权登记证书扫描件。</w:t>
            </w:r>
          </w:p>
        </w:tc>
      </w:tr>
      <w:tr w14:paraId="1AFB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E50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1999">
            <w:pPr>
              <w:spacing w:line="360" w:lineRule="auto"/>
              <w:jc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color w:val="000000"/>
                <w:kern w:val="0"/>
                <w:sz w:val="21"/>
                <w:szCs w:val="21"/>
                <w:highlight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357A">
            <w:pPr>
              <w:spacing w:after="0" w:line="240" w:lineRule="auto"/>
              <w:jc w:val="left"/>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知识库能力</w:t>
            </w:r>
          </w:p>
        </w:tc>
        <w:tc>
          <w:tcPr>
            <w:tcW w:w="3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45E5">
            <w:pPr>
              <w:spacing w:after="0" w:line="240" w:lineRule="auto"/>
              <w:jc w:val="left"/>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支持 PDF、DOCX、TXT、MD 等文档解析、分片、向量化、检索、重排序和结果召回。</w:t>
            </w:r>
          </w:p>
        </w:tc>
      </w:tr>
      <w:tr w14:paraId="0DE6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499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B313">
            <w:pPr>
              <w:spacing w:line="360" w:lineRule="auto"/>
              <w:jc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color w:val="000000"/>
                <w:kern w:val="0"/>
                <w:sz w:val="21"/>
                <w:szCs w:val="21"/>
                <w:highlight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E92E">
            <w:pPr>
              <w:spacing w:after="0" w:line="240" w:lineRule="auto"/>
              <w:jc w:val="left"/>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工作流能力</w:t>
            </w:r>
          </w:p>
        </w:tc>
        <w:tc>
          <w:tcPr>
            <w:tcW w:w="3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51C5">
            <w:pPr>
              <w:spacing w:after="0" w:line="240" w:lineRule="auto"/>
              <w:jc w:val="left"/>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支持用户输入、知识库检索、AI 对话、文件解析、图像识别、条件分支、文本回复等工作流节点。</w:t>
            </w:r>
          </w:p>
        </w:tc>
      </w:tr>
      <w:tr w14:paraId="68E2E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20BF">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4093">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highlight w:val="none"/>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B218">
            <w:pPr>
              <w:widowControl/>
              <w:ind w:firstLine="210" w:firstLineChars="100"/>
              <w:jc w:val="both"/>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数据库</w:t>
            </w:r>
          </w:p>
          <w:p w14:paraId="7B054AA9">
            <w:pPr>
              <w:widowControl/>
              <w:jc w:val="center"/>
              <w:textAlignment w:val="center"/>
              <w:rPr>
                <w:rFonts w:ascii="宋体" w:hAnsi="宋体" w:eastAsia="宋体" w:cs="Times New Roman"/>
                <w:b w:val="0"/>
                <w:sz w:val="21"/>
                <w:highlight w:val="none"/>
              </w:rPr>
            </w:pPr>
            <w:r>
              <w:rPr>
                <w:rFonts w:hint="eastAsia" w:ascii="宋体" w:hAnsi="宋体" w:eastAsia="宋体" w:cs="宋体"/>
                <w:color w:val="000000"/>
                <w:kern w:val="0"/>
                <w:sz w:val="21"/>
                <w:szCs w:val="21"/>
                <w:highlight w:val="none"/>
                <w:lang w:bidi="ar"/>
              </w:rPr>
              <w:t>兼容</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59FB">
            <w:pPr>
              <w:widowControl/>
              <w:jc w:val="left"/>
              <w:textAlignment w:val="center"/>
              <w:rPr>
                <w:rFonts w:ascii="宋体" w:hAnsi="宋体" w:eastAsia="宋体" w:cs="Times New Roman"/>
                <w:b w:val="0"/>
                <w:sz w:val="21"/>
                <w:highlight w:val="none"/>
              </w:rPr>
            </w:pPr>
            <w:r>
              <w:rPr>
                <w:rFonts w:hint="eastAsia" w:ascii="宋体" w:hAnsi="宋体" w:eastAsia="宋体" w:cs="宋体"/>
                <w:color w:val="000000"/>
                <w:kern w:val="0"/>
                <w:sz w:val="21"/>
                <w:szCs w:val="21"/>
                <w:highlight w:val="none"/>
                <w:lang w:val="en-US" w:eastAsia="zh-CN" w:bidi="ar"/>
              </w:rPr>
              <w:t>投标人所投产品需</w:t>
            </w:r>
            <w:r>
              <w:rPr>
                <w:rFonts w:hint="eastAsia" w:ascii="宋体" w:hAnsi="宋体" w:eastAsia="宋体" w:cs="宋体"/>
                <w:color w:val="000000"/>
                <w:kern w:val="0"/>
                <w:sz w:val="21"/>
                <w:szCs w:val="21"/>
                <w:highlight w:val="none"/>
                <w:lang w:bidi="ar"/>
              </w:rPr>
              <w:t xml:space="preserve">兼容 </w:t>
            </w:r>
            <w:r>
              <w:rPr>
                <w:rFonts w:hint="eastAsia" w:ascii="宋体" w:hAnsi="宋体" w:eastAsia="宋体" w:cs="宋体"/>
                <w:i w:val="0"/>
                <w:iCs w:val="0"/>
                <w:caps w:val="0"/>
                <w:color w:val="000000"/>
                <w:spacing w:val="0"/>
                <w:kern w:val="0"/>
                <w:sz w:val="21"/>
                <w:szCs w:val="21"/>
                <w:highlight w:val="none"/>
                <w:shd w:val="clear" w:color="auto" w:fill="auto"/>
                <w:lang w:bidi="ar"/>
              </w:rPr>
              <w:t>Caché</w:t>
            </w:r>
            <w:r>
              <w:rPr>
                <w:rFonts w:hint="eastAsia" w:ascii="宋体" w:hAnsi="宋体" w:eastAsia="宋体" w:cs="宋体"/>
                <w:color w:val="000000"/>
                <w:kern w:val="0"/>
                <w:sz w:val="21"/>
                <w:szCs w:val="21"/>
                <w:highlight w:val="none"/>
                <w:lang w:bidi="ar"/>
              </w:rPr>
              <w:t>数据库产品</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需</w:t>
            </w:r>
            <w:r>
              <w:rPr>
                <w:rFonts w:hint="eastAsia" w:ascii="宋体" w:hAnsi="宋体" w:eastAsia="宋体" w:cs="宋体"/>
                <w:sz w:val="21"/>
                <w:szCs w:val="21"/>
                <w:highlight w:val="none"/>
              </w:rPr>
              <w:t>投标人提供响应承诺。</w:t>
            </w:r>
          </w:p>
        </w:tc>
      </w:tr>
      <w:tr w14:paraId="5705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F290">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6CB7">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highlight w:val="none"/>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5C30">
            <w:pPr>
              <w:widowControl/>
              <w:jc w:val="center"/>
              <w:textAlignment w:val="center"/>
              <w:rPr>
                <w:rFonts w:ascii="宋体" w:hAnsi="宋体" w:eastAsia="宋体" w:cs="Times New Roman"/>
                <w:b w:val="0"/>
                <w:sz w:val="21"/>
                <w:highlight w:val="none"/>
              </w:rPr>
            </w:pPr>
            <w:r>
              <w:rPr>
                <w:rFonts w:hint="eastAsia" w:ascii="宋体" w:hAnsi="宋体" w:eastAsia="宋体" w:cs="宋体"/>
                <w:sz w:val="21"/>
                <w:szCs w:val="21"/>
                <w:highlight w:val="none"/>
                <w:lang w:val="en-US" w:eastAsia="zh-CN"/>
              </w:rPr>
              <w:t>业务系统兼容</w:t>
            </w:r>
          </w:p>
        </w:tc>
        <w:tc>
          <w:tcPr>
            <w:tcW w:w="4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11D4">
            <w:pPr>
              <w:widowControl/>
              <w:jc w:val="left"/>
              <w:textAlignment w:val="center"/>
              <w:rPr>
                <w:rFonts w:ascii="宋体" w:hAnsi="宋体" w:eastAsia="宋体" w:cs="Times New Roman"/>
                <w:b w:val="0"/>
                <w:sz w:val="21"/>
                <w:highlight w:val="none"/>
              </w:rPr>
            </w:pPr>
            <w:r>
              <w:rPr>
                <w:rFonts w:hint="eastAsia" w:ascii="宋体" w:hAnsi="宋体" w:eastAsia="宋体" w:cs="宋体"/>
                <w:color w:val="000000"/>
                <w:kern w:val="0"/>
                <w:sz w:val="21"/>
                <w:szCs w:val="21"/>
                <w:highlight w:val="none"/>
                <w:lang w:val="en-US" w:eastAsia="zh-CN" w:bidi="ar"/>
              </w:rPr>
              <w:t>投标人提供与现有应用模型以及HIS业务系统对接服务，涉及的HIS接口费用由投标人承担，需</w:t>
            </w:r>
            <w:r>
              <w:rPr>
                <w:rFonts w:hint="eastAsia" w:ascii="宋体" w:hAnsi="宋体" w:eastAsia="宋体" w:cs="宋体"/>
                <w:sz w:val="21"/>
                <w:szCs w:val="21"/>
                <w:highlight w:val="none"/>
              </w:rPr>
              <w:t>投标人提供响应承诺。</w:t>
            </w:r>
          </w:p>
        </w:tc>
      </w:tr>
      <w:tr w14:paraId="5B8C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B0A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64C6">
            <w:pPr>
              <w:spacing w:line="360" w:lineRule="auto"/>
              <w:jc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color w:val="000000"/>
                <w:kern w:val="0"/>
                <w:sz w:val="21"/>
                <w:szCs w:val="21"/>
                <w:highlight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27EC">
            <w:pPr>
              <w:spacing w:after="0" w:line="240" w:lineRule="auto"/>
              <w:jc w:val="left"/>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离线部署</w:t>
            </w:r>
          </w:p>
        </w:tc>
        <w:tc>
          <w:tcPr>
            <w:tcW w:w="3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F20C">
            <w:pPr>
              <w:spacing w:after="0" w:line="240" w:lineRule="auto"/>
              <w:jc w:val="left"/>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支持在无互联网环境下完成系统安装、启动、停止、重启、恢复和升级。</w:t>
            </w:r>
          </w:p>
        </w:tc>
      </w:tr>
      <w:tr w14:paraId="3BC0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050D">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10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40DC">
            <w:pPr>
              <w:spacing w:line="360" w:lineRule="auto"/>
              <w:jc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color w:val="000000"/>
                <w:kern w:val="0"/>
                <w:sz w:val="21"/>
                <w:szCs w:val="21"/>
                <w:highlight w:val="none"/>
                <w:lang w:val="en-US" w:eastAsia="zh-CN" w:bidi="ar"/>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9877">
            <w:pPr>
              <w:spacing w:after="0" w:line="240" w:lineRule="auto"/>
              <w:jc w:val="left"/>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性能验证</w:t>
            </w:r>
          </w:p>
        </w:tc>
        <w:tc>
          <w:tcPr>
            <w:tcW w:w="3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938A">
            <w:pPr>
              <w:spacing w:after="0" w:line="240" w:lineRule="auto"/>
              <w:jc w:val="left"/>
              <w:rPr>
                <w:rFonts w:hint="eastAsia" w:ascii="宋体" w:hAnsi="宋体" w:eastAsia="宋体" w:cs="宋体"/>
                <w:b w:val="0"/>
                <w:bCs w:val="0"/>
                <w:i w:val="0"/>
                <w:iCs w:val="0"/>
                <w:color w:val="000000"/>
                <w:sz w:val="24"/>
                <w:szCs w:val="24"/>
                <w:highlight w:val="none"/>
                <w:u w:val="none"/>
              </w:rPr>
            </w:pPr>
            <w:r>
              <w:rPr>
                <w:rFonts w:ascii="宋体" w:hAnsi="宋体" w:eastAsia="宋体" w:cs="Times New Roman"/>
                <w:b w:val="0"/>
                <w:sz w:val="21"/>
                <w:highlight w:val="none"/>
              </w:rPr>
              <w:t>投标人须提供部署后的功能验证报告，包括登录、知识库上传、文档解析、向量检索、工作流问答、模型调用等测试结果。</w:t>
            </w:r>
            <w:r>
              <w:rPr>
                <w:rFonts w:hint="eastAsia" w:ascii="宋体" w:hAnsi="宋体" w:eastAsia="宋体" w:cs="宋体"/>
                <w:color w:val="000000"/>
                <w:kern w:val="0"/>
                <w:sz w:val="21"/>
                <w:szCs w:val="21"/>
                <w:highlight w:val="none"/>
                <w:lang w:val="en-US" w:eastAsia="zh-CN" w:bidi="ar"/>
              </w:rPr>
              <w:t>需</w:t>
            </w:r>
            <w:r>
              <w:rPr>
                <w:rFonts w:hint="eastAsia" w:ascii="宋体" w:hAnsi="宋体" w:eastAsia="宋体" w:cs="宋体"/>
                <w:sz w:val="21"/>
                <w:szCs w:val="21"/>
                <w:highlight w:val="none"/>
              </w:rPr>
              <w:t>投标人提供响应承诺。</w:t>
            </w:r>
          </w:p>
        </w:tc>
      </w:tr>
      <w:tr w14:paraId="0E6B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4E86">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7738">
            <w:pPr>
              <w:spacing w:line="360" w:lineRule="auto"/>
              <w:jc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color w:val="000000"/>
                <w:kern w:val="0"/>
                <w:sz w:val="21"/>
                <w:szCs w:val="21"/>
                <w:highlight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A5C0">
            <w:pPr>
              <w:spacing w:after="0" w:line="240" w:lineRule="auto"/>
              <w:jc w:val="left"/>
              <w:rPr>
                <w:rFonts w:ascii="宋体" w:hAnsi="宋体" w:eastAsia="宋体" w:cs="Times New Roman"/>
                <w:b w:val="0"/>
                <w:sz w:val="21"/>
                <w:highlight w:val="none"/>
              </w:rPr>
            </w:pPr>
            <w:r>
              <w:rPr>
                <w:rFonts w:ascii="宋体" w:hAnsi="宋体" w:eastAsia="宋体" w:cs="Times New Roman"/>
                <w:b w:val="0"/>
                <w:sz w:val="21"/>
                <w:highlight w:val="none"/>
              </w:rPr>
              <w:t>操作系统</w:t>
            </w:r>
          </w:p>
        </w:tc>
        <w:tc>
          <w:tcPr>
            <w:tcW w:w="4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F927">
            <w:pPr>
              <w:spacing w:after="0" w:line="240" w:lineRule="auto"/>
              <w:jc w:val="left"/>
              <w:rPr>
                <w:rFonts w:ascii="宋体" w:hAnsi="宋体" w:eastAsia="宋体" w:cs="Times New Roman"/>
                <w:b w:val="0"/>
                <w:sz w:val="21"/>
                <w:highlight w:val="none"/>
              </w:rPr>
            </w:pPr>
            <w:r>
              <w:rPr>
                <w:rFonts w:ascii="宋体" w:hAnsi="宋体" w:eastAsia="宋体" w:cs="Times New Roman"/>
                <w:b w:val="0"/>
                <w:sz w:val="21"/>
                <w:highlight w:val="none"/>
              </w:rPr>
              <w:t>支持企业级 Linux 操作系统，满足容器化部署、长期稳定运行及安全加固要求。</w:t>
            </w:r>
          </w:p>
        </w:tc>
      </w:tr>
    </w:tbl>
    <w:p w14:paraId="3AD4EA35">
      <w:pPr>
        <w:widowControl/>
        <w:spacing w:line="360" w:lineRule="auto"/>
        <w:ind w:firstLine="480" w:firstLineChars="200"/>
        <w:contextualSpacing/>
        <w:rPr>
          <w:rFonts w:hint="default" w:ascii="Times New Roman" w:hAnsi="Times New Roman" w:eastAsia="宋体" w:cs="Times New Roman"/>
          <w:sz w:val="24"/>
          <w:highlight w:val="none"/>
          <w:lang w:val="en-US" w:eastAsia="zh-CN"/>
        </w:rPr>
      </w:pPr>
    </w:p>
    <w:p w14:paraId="57CAE97F">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w:t>
      </w:r>
      <w:r>
        <w:rPr>
          <w:rFonts w:hint="eastAsia" w:ascii="Times New Roman" w:hAnsi="Times New Roman" w:eastAsia="宋体" w:cs="Times New Roman"/>
          <w:sz w:val="24"/>
          <w:highlight w:val="none"/>
          <w:lang w:val="en-US" w:eastAsia="zh-CN"/>
        </w:rPr>
        <w:t>6.</w:t>
      </w:r>
      <w:r>
        <w:rPr>
          <w:rFonts w:ascii="Times New Roman" w:hAnsi="Times New Roman" w:eastAsia="宋体" w:cs="Times New Roman"/>
          <w:sz w:val="24"/>
          <w:highlight w:val="none"/>
        </w:rPr>
        <w:t>采购标的需满足的服务标准、期限、效率等要求</w:t>
      </w:r>
    </w:p>
    <w:p w14:paraId="6F1F6197">
      <w:pPr>
        <w:spacing w:before="120" w:after="120" w:line="360" w:lineRule="auto"/>
        <w:ind w:firstLine="482" w:firstLineChars="200"/>
        <w:rPr>
          <w:rFonts w:hint="eastAsia" w:ascii="宋体" w:hAnsi="宋体" w:eastAsia="宋体" w:cs="Arial"/>
          <w:sz w:val="24"/>
          <w:highlight w:val="none"/>
          <w:lang w:eastAsia="zh-CN"/>
        </w:rPr>
      </w:pPr>
      <w:r>
        <w:rPr>
          <w:rFonts w:hint="eastAsia" w:ascii="宋体" w:hAnsi="宋体" w:eastAsia="宋体" w:cs="Arial"/>
          <w:b/>
          <w:bCs/>
          <w:sz w:val="24"/>
          <w:highlight w:val="none"/>
        </w:rPr>
        <w:t>算力性能：</w:t>
      </w:r>
      <w:r>
        <w:rPr>
          <w:rFonts w:hint="eastAsia" w:ascii="宋体" w:hAnsi="宋体" w:eastAsia="宋体" w:cs="Arial"/>
          <w:sz w:val="24"/>
          <w:highlight w:val="none"/>
        </w:rPr>
        <w:t>完美支撑7B-34B参数医疗大模型私有化推理，支持多科室、多用户并发调用，单请求响应时延≤3秒，运行无卡顿、无报错</w:t>
      </w:r>
      <w:r>
        <w:rPr>
          <w:rFonts w:hint="eastAsia" w:ascii="宋体" w:hAnsi="宋体" w:eastAsia="宋体" w:cs="Arial"/>
          <w:sz w:val="24"/>
          <w:highlight w:val="none"/>
          <w:lang w:eastAsia="zh-CN"/>
        </w:rPr>
        <w:t>；</w:t>
      </w:r>
    </w:p>
    <w:p w14:paraId="20A5B792">
      <w:pPr>
        <w:spacing w:before="120" w:after="120" w:line="360" w:lineRule="auto"/>
        <w:ind w:firstLine="482" w:firstLineChars="200"/>
        <w:rPr>
          <w:rFonts w:hint="eastAsia" w:ascii="宋体" w:hAnsi="宋体" w:eastAsia="宋体" w:cs="Arial"/>
          <w:sz w:val="24"/>
          <w:highlight w:val="none"/>
          <w:lang w:eastAsia="zh-CN"/>
        </w:rPr>
      </w:pPr>
      <w:r>
        <w:rPr>
          <w:rFonts w:hint="eastAsia" w:ascii="宋体" w:hAnsi="宋体" w:eastAsia="宋体" w:cs="Arial"/>
          <w:b/>
          <w:bCs/>
          <w:sz w:val="24"/>
          <w:highlight w:val="none"/>
        </w:rPr>
        <w:t>合规安全：</w:t>
      </w:r>
      <w:r>
        <w:rPr>
          <w:rFonts w:hint="eastAsia" w:ascii="宋体" w:hAnsi="宋体" w:eastAsia="宋体" w:cs="Arial"/>
          <w:sz w:val="24"/>
          <w:highlight w:val="none"/>
        </w:rPr>
        <w:t>数据全程留存院内，满足三级等保、医疗数据安全、患者隐私保护各项要求，无数据泄露风险</w:t>
      </w:r>
      <w:r>
        <w:rPr>
          <w:rFonts w:hint="eastAsia" w:ascii="宋体" w:hAnsi="宋体" w:eastAsia="宋体" w:cs="Arial"/>
          <w:sz w:val="24"/>
          <w:highlight w:val="none"/>
          <w:lang w:eastAsia="zh-CN"/>
        </w:rPr>
        <w:t>；</w:t>
      </w:r>
    </w:p>
    <w:p w14:paraId="69A1200B">
      <w:pPr>
        <w:spacing w:before="120" w:after="120" w:line="360" w:lineRule="auto"/>
        <w:ind w:firstLine="482" w:firstLineChars="200"/>
        <w:rPr>
          <w:rFonts w:hint="eastAsia" w:ascii="宋体" w:hAnsi="宋体" w:eastAsia="宋体" w:cs="Arial"/>
          <w:sz w:val="24"/>
          <w:highlight w:val="none"/>
          <w:lang w:eastAsia="zh-CN"/>
        </w:rPr>
      </w:pPr>
      <w:r>
        <w:rPr>
          <w:rFonts w:hint="eastAsia" w:ascii="宋体" w:hAnsi="宋体" w:eastAsia="宋体" w:cs="Arial"/>
          <w:b/>
          <w:bCs/>
          <w:sz w:val="24"/>
          <w:highlight w:val="none"/>
        </w:rPr>
        <w:t>稳定可靠：</w:t>
      </w:r>
      <w:r>
        <w:rPr>
          <w:rFonts w:hint="eastAsia" w:ascii="宋体" w:hAnsi="宋体" w:eastAsia="宋体" w:cs="Arial"/>
          <w:sz w:val="24"/>
          <w:highlight w:val="none"/>
        </w:rPr>
        <w:t>服务器支持7×24小时不间断运行，年故障率≤0.1%，保障临床业务不间断</w:t>
      </w:r>
      <w:r>
        <w:rPr>
          <w:rFonts w:hint="eastAsia" w:ascii="宋体" w:hAnsi="宋体" w:eastAsia="宋体" w:cs="Arial"/>
          <w:sz w:val="24"/>
          <w:highlight w:val="none"/>
          <w:lang w:eastAsia="zh-CN"/>
        </w:rPr>
        <w:t>；</w:t>
      </w:r>
    </w:p>
    <w:p w14:paraId="1828F585">
      <w:pPr>
        <w:spacing w:before="120" w:after="120" w:line="360" w:lineRule="auto"/>
        <w:ind w:firstLine="482" w:firstLineChars="200"/>
        <w:rPr>
          <w:rFonts w:hint="eastAsia" w:ascii="宋体" w:hAnsi="宋体" w:eastAsia="宋体" w:cs="Arial"/>
          <w:sz w:val="24"/>
          <w:highlight w:val="none"/>
          <w:lang w:eastAsia="zh-CN"/>
        </w:rPr>
      </w:pPr>
      <w:r>
        <w:rPr>
          <w:rFonts w:hint="eastAsia" w:ascii="宋体" w:hAnsi="宋体" w:eastAsia="宋体" w:cs="Arial"/>
          <w:b/>
          <w:bCs/>
          <w:sz w:val="24"/>
          <w:highlight w:val="none"/>
        </w:rPr>
        <w:t>成本可控</w:t>
      </w:r>
      <w:r>
        <w:rPr>
          <w:rFonts w:hint="eastAsia" w:ascii="宋体" w:hAnsi="宋体" w:eastAsia="宋体" w:cs="Arial"/>
          <w:sz w:val="24"/>
          <w:highlight w:val="none"/>
        </w:rPr>
        <w:t>：选型贴合实际需求，严控投资规模，性价比最优，无性能过剩与资金浪费</w:t>
      </w:r>
      <w:r>
        <w:rPr>
          <w:rFonts w:hint="eastAsia" w:ascii="宋体" w:hAnsi="宋体" w:eastAsia="宋体" w:cs="Arial"/>
          <w:sz w:val="24"/>
          <w:highlight w:val="none"/>
          <w:lang w:eastAsia="zh-CN"/>
        </w:rPr>
        <w:t>；</w:t>
      </w:r>
    </w:p>
    <w:p w14:paraId="0EDDC576">
      <w:pPr>
        <w:spacing w:before="120" w:after="120" w:line="360" w:lineRule="auto"/>
        <w:ind w:firstLine="482" w:firstLineChars="200"/>
        <w:rPr>
          <w:rFonts w:hint="eastAsia" w:ascii="宋体" w:hAnsi="宋体" w:eastAsia="宋体" w:cs="Arial"/>
          <w:sz w:val="24"/>
          <w:highlight w:val="none"/>
          <w:lang w:eastAsia="zh-CN"/>
        </w:rPr>
      </w:pPr>
      <w:r>
        <w:rPr>
          <w:rFonts w:hint="eastAsia" w:ascii="宋体" w:hAnsi="宋体" w:eastAsia="宋体" w:cs="Arial"/>
          <w:b/>
          <w:bCs/>
          <w:sz w:val="24"/>
          <w:highlight w:val="none"/>
        </w:rPr>
        <w:t>扩展兼容：</w:t>
      </w:r>
      <w:r>
        <w:rPr>
          <w:rFonts w:hint="eastAsia" w:ascii="宋体" w:hAnsi="宋体" w:eastAsia="宋体" w:cs="Arial"/>
          <w:sz w:val="24"/>
          <w:highlight w:val="none"/>
        </w:rPr>
        <w:t>预留硬件扩展空间，适配后续模型升级、场景拓展、算力扩容需求，兼容现有信创架构</w:t>
      </w:r>
      <w:r>
        <w:rPr>
          <w:rFonts w:hint="eastAsia" w:ascii="宋体" w:hAnsi="宋体" w:eastAsia="宋体" w:cs="Arial"/>
          <w:sz w:val="24"/>
          <w:highlight w:val="none"/>
          <w:lang w:eastAsia="zh-CN"/>
        </w:rPr>
        <w:t>。</w:t>
      </w:r>
    </w:p>
    <w:p w14:paraId="4F3C5D5C">
      <w:pPr>
        <w:widowControl/>
        <w:spacing w:line="360" w:lineRule="auto"/>
        <w:ind w:firstLine="480" w:firstLineChars="200"/>
        <w:contextualSpacing/>
        <w:rPr>
          <w:rFonts w:ascii="Times New Roman" w:hAnsi="Times New Roman" w:eastAsia="宋体" w:cs="Times New Roman"/>
          <w:sz w:val="24"/>
          <w:highlight w:val="none"/>
        </w:rPr>
      </w:pPr>
    </w:p>
    <w:p w14:paraId="123D255F">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w:t>
      </w:r>
      <w:r>
        <w:rPr>
          <w:rFonts w:hint="eastAsia" w:ascii="Times New Roman" w:hAnsi="Times New Roman" w:eastAsia="宋体" w:cs="Times New Roman"/>
          <w:sz w:val="24"/>
          <w:highlight w:val="none"/>
          <w:lang w:val="en-US" w:eastAsia="zh-CN"/>
        </w:rPr>
        <w:t>7.</w:t>
      </w:r>
      <w:r>
        <w:rPr>
          <w:rFonts w:ascii="Times New Roman" w:hAnsi="Times New Roman" w:eastAsia="宋体" w:cs="Times New Roman"/>
          <w:sz w:val="24"/>
          <w:highlight w:val="none"/>
        </w:rPr>
        <w:t>为落实政府采购政策需满足的要求</w:t>
      </w:r>
    </w:p>
    <w:p w14:paraId="278F7E6C">
      <w:pPr>
        <w:widowControl/>
        <w:numPr>
          <w:ilvl w:val="0"/>
          <w:numId w:val="9"/>
        </w:numPr>
        <w:spacing w:line="360" w:lineRule="auto"/>
        <w:ind w:left="840" w:leftChars="0" w:hanging="420" w:firstLineChars="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严格执行《通用服务器政府采购需求标准（2023 年版）》</w:t>
      </w:r>
    </w:p>
    <w:p w14:paraId="1D60D419">
      <w:pPr>
        <w:widowControl/>
        <w:numPr>
          <w:ilvl w:val="0"/>
          <w:numId w:val="9"/>
        </w:numPr>
        <w:spacing w:line="360" w:lineRule="auto"/>
        <w:ind w:left="840" w:leftChars="0" w:hanging="420" w:firstLineChars="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符合 GB/T 22239/25070/25058 网络安全等级保护等保 </w:t>
      </w: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级</w:t>
      </w:r>
    </w:p>
    <w:p w14:paraId="5C5DB717">
      <w:pPr>
        <w:widowControl/>
        <w:numPr>
          <w:ilvl w:val="0"/>
          <w:numId w:val="9"/>
        </w:numPr>
        <w:spacing w:line="360" w:lineRule="auto"/>
        <w:ind w:left="840" w:leftChars="0" w:hanging="420" w:firstLineChars="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供应商无重大违法失信记录（信用中国、政府采购网查询）中国政府网</w:t>
      </w:r>
    </w:p>
    <w:p w14:paraId="682398E8">
      <w:pPr>
        <w:widowControl/>
        <w:numPr>
          <w:ilvl w:val="0"/>
          <w:numId w:val="9"/>
        </w:numPr>
        <w:spacing w:line="360" w:lineRule="auto"/>
        <w:ind w:left="840" w:leftChars="0" w:hanging="420" w:firstLineChars="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按GB/T 45087-2024 AI 服务器性能测试标准验收</w:t>
      </w:r>
    </w:p>
    <w:p w14:paraId="30200C25">
      <w:pPr>
        <w:widowControl/>
        <w:spacing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提供原厂 3 年以上质保、7×24 小时服务、4 小时到场</w:t>
      </w:r>
    </w:p>
    <w:p w14:paraId="5A914083">
      <w:pPr>
        <w:widowControl/>
        <w:spacing w:line="360" w:lineRule="auto"/>
        <w:ind w:firstLine="480" w:firstLineChars="200"/>
        <w:contextualSpacing/>
        <w:rPr>
          <w:rFonts w:ascii="Times New Roman" w:hAnsi="Times New Roman" w:eastAsia="宋体" w:cs="Times New Roman"/>
          <w:sz w:val="24"/>
          <w:highlight w:val="none"/>
        </w:rPr>
      </w:pPr>
    </w:p>
    <w:p w14:paraId="1E08F31B">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w:t>
      </w:r>
      <w:r>
        <w:rPr>
          <w:rFonts w:hint="eastAsia" w:ascii="Times New Roman" w:hAnsi="Times New Roman" w:eastAsia="宋体" w:cs="Times New Roman"/>
          <w:sz w:val="24"/>
          <w:highlight w:val="none"/>
          <w:lang w:val="en-US" w:eastAsia="zh-CN"/>
        </w:rPr>
        <w:t>8.</w:t>
      </w:r>
      <w:r>
        <w:rPr>
          <w:rFonts w:ascii="Times New Roman" w:hAnsi="Times New Roman" w:eastAsia="宋体" w:cs="Times New Roman"/>
          <w:sz w:val="24"/>
          <w:highlight w:val="none"/>
        </w:rPr>
        <w:t>采购标的的其他技术、服务等要求</w:t>
      </w:r>
    </w:p>
    <w:p w14:paraId="03429B82">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提供AI 智能计算服务器：1 台（4U 机架式 4 卡 GPU）和智能计算交互平台1套；</w:t>
      </w:r>
    </w:p>
    <w:p w14:paraId="5591759D">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提供整机硬件、配件、线缆、导轨、支架以及智能计算交互平台所需要环境；</w:t>
      </w:r>
    </w:p>
    <w:p w14:paraId="2A8FBCAA">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提供操作系统、驱动、AI 运行环境部署以及智能计算交互平台接口（相关费用包含在投标报价中）；</w:t>
      </w:r>
    </w:p>
    <w:p w14:paraId="19DD4051">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提供医疗大模型部署、调试、性能优化（相关费用包含在投标报价中）；</w:t>
      </w:r>
    </w:p>
    <w:p w14:paraId="3D4CA9A5">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提供与医院业务系统接口开发、联调（相关费用包含在投标报价中）；</w:t>
      </w:r>
    </w:p>
    <w:p w14:paraId="027A89BB">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三年原厂质保、7×24 小时技术支持；</w:t>
      </w:r>
    </w:p>
    <w:p w14:paraId="5E900C7F">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提供现场实施、上架、布线、调试、培训、文档交付（相关费用包含在投标报价中）。</w:t>
      </w:r>
    </w:p>
    <w:p w14:paraId="6C2298BA">
      <w:pPr>
        <w:widowControl/>
        <w:spacing w:line="360" w:lineRule="auto"/>
        <w:ind w:firstLine="480" w:firstLineChars="200"/>
        <w:contextualSpacing/>
        <w:rPr>
          <w:rFonts w:ascii="Times New Roman" w:hAnsi="Times New Roman" w:eastAsia="宋体" w:cs="Times New Roman"/>
          <w:sz w:val="24"/>
          <w:highlight w:val="none"/>
        </w:rPr>
      </w:pPr>
    </w:p>
    <w:p w14:paraId="674A0378">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w:t>
      </w:r>
      <w:r>
        <w:rPr>
          <w:rFonts w:hint="eastAsia" w:ascii="Times New Roman" w:hAnsi="Times New Roman" w:eastAsia="宋体" w:cs="Times New Roman"/>
          <w:sz w:val="24"/>
          <w:highlight w:val="none"/>
          <w:lang w:val="en-US" w:eastAsia="zh-CN"/>
        </w:rPr>
        <w:t>9.</w:t>
      </w:r>
      <w:r>
        <w:rPr>
          <w:rFonts w:ascii="Times New Roman" w:hAnsi="Times New Roman" w:eastAsia="宋体" w:cs="Times New Roman"/>
          <w:sz w:val="24"/>
          <w:highlight w:val="none"/>
        </w:rPr>
        <w:t>需由供应商提供设计方案、解决方案或者组织方案的采购项目，应当说明采购标的的功能、应用场景、目标等基本要求</w:t>
      </w:r>
    </w:p>
    <w:p w14:paraId="2A1CD96C">
      <w:pPr>
        <w:widowControl w:val="0"/>
        <w:adjustRightInd w:val="0"/>
        <w:spacing w:line="360" w:lineRule="auto"/>
        <w:ind w:firstLine="424" w:firstLineChars="177"/>
        <w:contextualSpacing/>
        <w:jc w:val="left"/>
        <w:rPr>
          <w:rFonts w:ascii="Times New Roman" w:hAnsi="Times New Roman" w:eastAsia="宋体" w:cs="Times New Roman"/>
          <w:kern w:val="2"/>
          <w:sz w:val="24"/>
          <w:szCs w:val="24"/>
          <w:highlight w:val="none"/>
          <w:lang w:val="en-US" w:eastAsia="zh-CN" w:bidi="ar-SA"/>
        </w:rPr>
      </w:pPr>
    </w:p>
    <w:p w14:paraId="1BEDA966">
      <w:pPr>
        <w:spacing w:line="360" w:lineRule="auto"/>
        <w:contextualSpacing/>
        <w:rPr>
          <w:rFonts w:ascii="Times New Roman" w:hAnsi="Times New Roman" w:eastAsia="宋体" w:cs="Times New Roman"/>
          <w:i/>
          <w:iCs/>
          <w:sz w:val="24"/>
          <w:highlight w:val="none"/>
        </w:rPr>
      </w:pPr>
      <w:r>
        <w:rPr>
          <w:rFonts w:ascii="Times New Roman" w:hAnsi="Times New Roman" w:eastAsia="宋体" w:cs="Times New Roman"/>
          <w:sz w:val="24"/>
          <w:highlight w:val="none"/>
        </w:rPr>
        <w:t>3. 验收标准</w:t>
      </w:r>
    </w:p>
    <w:p w14:paraId="2C1DD751">
      <w:pPr>
        <w:numPr>
          <w:ilvl w:val="0"/>
          <w:numId w:val="10"/>
        </w:numPr>
        <w:spacing w:line="360" w:lineRule="auto"/>
        <w:ind w:left="845" w:leftChars="0" w:hanging="425" w:firstLineChars="0"/>
        <w:contextualSpacing/>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到货验收</w:t>
      </w:r>
    </w:p>
    <w:p w14:paraId="3419E5F2">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确认型号、配置、数量与合同一致；</w:t>
      </w:r>
    </w:p>
    <w:p w14:paraId="0D9E310B">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确认外观无破损、序列号可查；</w:t>
      </w:r>
    </w:p>
    <w:p w14:paraId="52E005FF">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确认通电开机无报错、硬件识别正常。</w:t>
      </w:r>
    </w:p>
    <w:p w14:paraId="4E73A6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30" w:leftChars="0" w:right="0" w:rightChars="0"/>
        <w:jc w:val="left"/>
        <w:textAlignment w:val="auto"/>
        <w:rPr>
          <w:rFonts w:hint="eastAsia" w:ascii="宋体" w:hAnsi="宋体" w:eastAsia="宋体" w:cs="宋体"/>
          <w:color w:val="000000"/>
          <w:kern w:val="0"/>
          <w:sz w:val="24"/>
          <w:szCs w:val="24"/>
          <w:highlight w:val="none"/>
          <w:lang w:val="en-US" w:eastAsia="zh-CN" w:bidi="ar"/>
        </w:rPr>
      </w:pPr>
    </w:p>
    <w:p w14:paraId="30A93747">
      <w:pPr>
        <w:numPr>
          <w:ilvl w:val="0"/>
          <w:numId w:val="10"/>
        </w:numPr>
        <w:spacing w:line="360" w:lineRule="auto"/>
        <w:ind w:left="845" w:leftChars="0" w:hanging="425" w:firstLineChars="0"/>
        <w:contextualSpacing/>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技术验收</w:t>
      </w:r>
    </w:p>
    <w:p w14:paraId="7CBE8366">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确认CPU、内存、硬盘、GPU 参数达标；</w:t>
      </w:r>
    </w:p>
    <w:p w14:paraId="02591863">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确认万兆网络、带宽、时延达标；</w:t>
      </w:r>
    </w:p>
    <w:p w14:paraId="488FDB56">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确认大模型加载、并发、响应时间达标；</w:t>
      </w:r>
    </w:p>
    <w:p w14:paraId="23024183">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0" w:leftChars="0" w:right="0" w:hanging="42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确认全场景 AI 功能正常、输出准确。</w:t>
      </w:r>
    </w:p>
    <w:p w14:paraId="59C5D9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772ED"/>
    <w:multiLevelType w:val="singleLevel"/>
    <w:tmpl w:val="855772ED"/>
    <w:lvl w:ilvl="0" w:tentative="0">
      <w:start w:val="1"/>
      <w:numFmt w:val="decimal"/>
      <w:lvlText w:val="(%1)"/>
      <w:lvlJc w:val="left"/>
      <w:pPr>
        <w:ind w:left="425" w:hanging="425"/>
      </w:pPr>
      <w:rPr>
        <w:rFonts w:hint="default"/>
      </w:rPr>
    </w:lvl>
  </w:abstractNum>
  <w:abstractNum w:abstractNumId="1">
    <w:nsid w:val="A34C98CE"/>
    <w:multiLevelType w:val="singleLevel"/>
    <w:tmpl w:val="A34C98CE"/>
    <w:lvl w:ilvl="0" w:tentative="0">
      <w:start w:val="3"/>
      <w:numFmt w:val="decimal"/>
      <w:suff w:val="space"/>
      <w:lvlText w:val="%1."/>
      <w:lvlJc w:val="left"/>
    </w:lvl>
  </w:abstractNum>
  <w:abstractNum w:abstractNumId="2">
    <w:nsid w:val="BB8F1949"/>
    <w:multiLevelType w:val="singleLevel"/>
    <w:tmpl w:val="BB8F1949"/>
    <w:lvl w:ilvl="0" w:tentative="0">
      <w:start w:val="1"/>
      <w:numFmt w:val="bullet"/>
      <w:lvlText w:val=""/>
      <w:lvlJc w:val="left"/>
      <w:pPr>
        <w:ind w:left="840" w:hanging="420"/>
      </w:pPr>
      <w:rPr>
        <w:rFonts w:hint="default" w:ascii="Wingdings" w:hAnsi="Wingdings"/>
      </w:rPr>
    </w:lvl>
  </w:abstractNum>
  <w:abstractNum w:abstractNumId="3">
    <w:nsid w:val="D12F4DBF"/>
    <w:multiLevelType w:val="singleLevel"/>
    <w:tmpl w:val="D12F4DBF"/>
    <w:lvl w:ilvl="0" w:tentative="0">
      <w:start w:val="1"/>
      <w:numFmt w:val="decimal"/>
      <w:lvlText w:val="(%1)"/>
      <w:lvlJc w:val="left"/>
      <w:pPr>
        <w:ind w:left="845" w:hanging="425"/>
      </w:pPr>
      <w:rPr>
        <w:rFonts w:hint="default"/>
      </w:rPr>
    </w:lvl>
  </w:abstractNum>
  <w:abstractNum w:abstractNumId="4">
    <w:nsid w:val="F3E21440"/>
    <w:multiLevelType w:val="singleLevel"/>
    <w:tmpl w:val="F3E21440"/>
    <w:lvl w:ilvl="0" w:tentative="0">
      <w:start w:val="1"/>
      <w:numFmt w:val="decimal"/>
      <w:lvlText w:val="(%1)"/>
      <w:lvlJc w:val="left"/>
      <w:pPr>
        <w:ind w:left="845" w:hanging="425"/>
      </w:pPr>
      <w:rPr>
        <w:rFonts w:hint="default"/>
      </w:rPr>
    </w:lvl>
  </w:abstractNum>
  <w:abstractNum w:abstractNumId="5">
    <w:nsid w:val="09FD96EA"/>
    <w:multiLevelType w:val="singleLevel"/>
    <w:tmpl w:val="09FD96EA"/>
    <w:lvl w:ilvl="0" w:tentative="0">
      <w:start w:val="1"/>
      <w:numFmt w:val="decimalEnclosedCircleChinese"/>
      <w:suff w:val="nothing"/>
      <w:lvlText w:val="%1　"/>
      <w:lvlJc w:val="left"/>
      <w:pPr>
        <w:ind w:left="0" w:firstLine="400"/>
      </w:pPr>
      <w:rPr>
        <w:rFonts w:hint="eastAsia"/>
      </w:rPr>
    </w:lvl>
  </w:abstractNum>
  <w:abstractNum w:abstractNumId="6">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01B1821"/>
    <w:multiLevelType w:val="singleLevel"/>
    <w:tmpl w:val="301B1821"/>
    <w:lvl w:ilvl="0" w:tentative="0">
      <w:start w:val="1"/>
      <w:numFmt w:val="decimal"/>
      <w:lvlText w:val="(%1)"/>
      <w:lvlJc w:val="left"/>
      <w:pPr>
        <w:ind w:left="845" w:hanging="425"/>
      </w:pPr>
      <w:rPr>
        <w:rFonts w:hint="default"/>
      </w:rPr>
    </w:lvl>
  </w:abstractNum>
  <w:abstractNum w:abstractNumId="8">
    <w:nsid w:val="38FE6CCB"/>
    <w:multiLevelType w:val="singleLevel"/>
    <w:tmpl w:val="38FE6CCB"/>
    <w:lvl w:ilvl="0" w:tentative="0">
      <w:start w:val="1"/>
      <w:numFmt w:val="bullet"/>
      <w:lvlText w:val=""/>
      <w:lvlJc w:val="left"/>
      <w:pPr>
        <w:ind w:left="840" w:hanging="420"/>
      </w:pPr>
      <w:rPr>
        <w:rFonts w:hint="default" w:ascii="Wingdings" w:hAnsi="Wingdings"/>
      </w:rPr>
    </w:lvl>
  </w:abstractNum>
  <w:abstractNum w:abstractNumId="9">
    <w:nsid w:val="5AE909D0"/>
    <w:multiLevelType w:val="singleLevel"/>
    <w:tmpl w:val="5AE909D0"/>
    <w:lvl w:ilvl="0" w:tentative="0">
      <w:start w:val="1"/>
      <w:numFmt w:val="bullet"/>
      <w:lvlText w:val=""/>
      <w:lvlJc w:val="left"/>
      <w:pPr>
        <w:ind w:left="840" w:hanging="420"/>
      </w:pPr>
      <w:rPr>
        <w:rFonts w:hint="default" w:ascii="Wingdings" w:hAnsi="Wingdings"/>
      </w:rPr>
    </w:lvl>
  </w:abstractNum>
  <w:num w:numId="1">
    <w:abstractNumId w:val="6"/>
  </w:num>
  <w:num w:numId="2">
    <w:abstractNumId w:val="0"/>
  </w:num>
  <w:num w:numId="3">
    <w:abstractNumId w:val="5"/>
  </w:num>
  <w:num w:numId="4">
    <w:abstractNumId w:val="9"/>
  </w:num>
  <w:num w:numId="5">
    <w:abstractNumId w:val="1"/>
  </w:num>
  <w:num w:numId="6">
    <w:abstractNumId w:val="3"/>
  </w:num>
  <w:num w:numId="7">
    <w:abstractNumId w:val="4"/>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77D21"/>
    <w:rsid w:val="1DA41FC6"/>
    <w:rsid w:val="6665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5125</Words>
  <Characters>5751</Characters>
  <Lines>0</Lines>
  <Paragraphs>0</Paragraphs>
  <TotalTime>0</TotalTime>
  <ScaleCrop>false</ScaleCrop>
  <LinksUpToDate>false</LinksUpToDate>
  <CharactersWithSpaces>5880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2026-07-06T06:48:00Z</dcterms:created>
  <dc:creator>user</dc:creator>
  <cp:lastModifiedBy>HJT</cp:lastModifiedBy>
  <dcterms:modified xsi:type="dcterms:W3CDTF">2026-07-07T02:03:36Z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7AE922550B554212BF185F7018F3E763_12</vt:lpwstr>
  </property>
</Properties>
</file>